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346" w:rsidRDefault="00F42346">
      <w:pPr>
        <w:pStyle w:val="GvdeMetni"/>
        <w:spacing w:before="5"/>
        <w:rPr>
          <w:sz w:val="15"/>
        </w:rPr>
      </w:pPr>
      <w:bookmarkStart w:id="0" w:name="_GoBack"/>
      <w:bookmarkEnd w:id="0"/>
    </w:p>
    <w:p w:rsidR="00F42346" w:rsidRDefault="00FD68CE">
      <w:pPr>
        <w:pStyle w:val="Balk1"/>
        <w:numPr>
          <w:ilvl w:val="0"/>
          <w:numId w:val="2"/>
        </w:numPr>
        <w:tabs>
          <w:tab w:val="left" w:pos="348"/>
        </w:tabs>
        <w:spacing w:before="90"/>
        <w:ind w:hanging="241"/>
      </w:pPr>
      <w:r>
        <w:t>Genel Şartlar ve</w:t>
      </w:r>
      <w:r>
        <w:rPr>
          <w:spacing w:val="-4"/>
        </w:rPr>
        <w:t xml:space="preserve"> </w:t>
      </w:r>
      <w:r>
        <w:t>Tanımlar</w:t>
      </w:r>
    </w:p>
    <w:p w:rsidR="00F42346" w:rsidRDefault="00FD68CE">
      <w:pPr>
        <w:pStyle w:val="ListeParagraf"/>
        <w:numPr>
          <w:ilvl w:val="1"/>
          <w:numId w:val="2"/>
        </w:numPr>
        <w:tabs>
          <w:tab w:val="left" w:pos="468"/>
        </w:tabs>
        <w:ind w:hanging="361"/>
        <w:rPr>
          <w:b/>
          <w:sz w:val="24"/>
        </w:rPr>
      </w:pPr>
      <w:r>
        <w:rPr>
          <w:b/>
          <w:sz w:val="24"/>
        </w:rPr>
        <w:t>Genel</w:t>
      </w:r>
      <w:r>
        <w:rPr>
          <w:b/>
          <w:spacing w:val="-1"/>
          <w:sz w:val="24"/>
        </w:rPr>
        <w:t xml:space="preserve"> </w:t>
      </w:r>
      <w:r>
        <w:rPr>
          <w:b/>
          <w:sz w:val="24"/>
        </w:rPr>
        <w:t>Şartlar:</w:t>
      </w:r>
    </w:p>
    <w:p w:rsidR="00F42346" w:rsidRDefault="00F42346">
      <w:pPr>
        <w:pStyle w:val="GvdeMetni"/>
        <w:spacing w:before="5"/>
        <w:rPr>
          <w:b/>
          <w:sz w:val="20"/>
        </w:rPr>
      </w:pPr>
    </w:p>
    <w:p w:rsidR="00F42346" w:rsidRDefault="00FD68CE">
      <w:pPr>
        <w:pStyle w:val="ListeParagraf"/>
        <w:numPr>
          <w:ilvl w:val="2"/>
          <w:numId w:val="2"/>
        </w:numPr>
        <w:tabs>
          <w:tab w:val="left" w:pos="683"/>
        </w:tabs>
        <w:ind w:left="107" w:right="101" w:firstLine="0"/>
        <w:jc w:val="both"/>
        <w:rPr>
          <w:sz w:val="24"/>
        </w:rPr>
      </w:pPr>
      <w:r>
        <w:rPr>
          <w:sz w:val="24"/>
        </w:rPr>
        <w:t>Bu Sözleşme, T</w:t>
      </w:r>
      <w:r w:rsidR="00C059D6">
        <w:rPr>
          <w:sz w:val="24"/>
        </w:rPr>
        <w:t xml:space="preserve">ürkiye Enerji, Nükleer ve Maden </w:t>
      </w:r>
      <w:r>
        <w:rPr>
          <w:sz w:val="24"/>
        </w:rPr>
        <w:t>Araştırma Kurumu (TENMAK) Nükleer Enerji</w:t>
      </w:r>
      <w:r>
        <w:rPr>
          <w:spacing w:val="-7"/>
          <w:sz w:val="24"/>
        </w:rPr>
        <w:t xml:space="preserve"> </w:t>
      </w:r>
      <w:r>
        <w:rPr>
          <w:sz w:val="24"/>
        </w:rPr>
        <w:t>Araştırma</w:t>
      </w:r>
      <w:r>
        <w:rPr>
          <w:spacing w:val="-8"/>
          <w:sz w:val="24"/>
        </w:rPr>
        <w:t xml:space="preserve"> </w:t>
      </w:r>
      <w:r>
        <w:rPr>
          <w:sz w:val="24"/>
        </w:rPr>
        <w:t>Enstitüsü</w:t>
      </w:r>
      <w:r>
        <w:rPr>
          <w:spacing w:val="-6"/>
          <w:sz w:val="24"/>
        </w:rPr>
        <w:t xml:space="preserve"> </w:t>
      </w:r>
      <w:r>
        <w:rPr>
          <w:sz w:val="24"/>
        </w:rPr>
        <w:t>(NÜKEN)</w:t>
      </w:r>
      <w:r>
        <w:rPr>
          <w:spacing w:val="-6"/>
          <w:sz w:val="24"/>
        </w:rPr>
        <w:t xml:space="preserve"> </w:t>
      </w:r>
      <w:r>
        <w:rPr>
          <w:sz w:val="24"/>
        </w:rPr>
        <w:t>Başkanlığı</w:t>
      </w:r>
      <w:r>
        <w:rPr>
          <w:spacing w:val="-6"/>
          <w:sz w:val="24"/>
        </w:rPr>
        <w:t xml:space="preserve"> </w:t>
      </w:r>
      <w:r w:rsidR="00C059D6">
        <w:rPr>
          <w:sz w:val="24"/>
        </w:rPr>
        <w:t>İstanbul</w:t>
      </w:r>
      <w:r>
        <w:rPr>
          <w:spacing w:val="-5"/>
          <w:sz w:val="24"/>
        </w:rPr>
        <w:t xml:space="preserve"> </w:t>
      </w:r>
      <w:r>
        <w:rPr>
          <w:sz w:val="24"/>
        </w:rPr>
        <w:t>yerleşkesi</w:t>
      </w:r>
      <w:r>
        <w:rPr>
          <w:spacing w:val="-2"/>
          <w:sz w:val="24"/>
        </w:rPr>
        <w:t xml:space="preserve"> </w:t>
      </w:r>
      <w:r>
        <w:rPr>
          <w:sz w:val="24"/>
        </w:rPr>
        <w:t>İkincil</w:t>
      </w:r>
      <w:r>
        <w:rPr>
          <w:spacing w:val="-6"/>
          <w:sz w:val="24"/>
        </w:rPr>
        <w:t xml:space="preserve"> </w:t>
      </w:r>
      <w:r>
        <w:rPr>
          <w:sz w:val="24"/>
        </w:rPr>
        <w:t>Standart</w:t>
      </w:r>
      <w:r>
        <w:rPr>
          <w:spacing w:val="-7"/>
          <w:sz w:val="24"/>
        </w:rPr>
        <w:t xml:space="preserve"> </w:t>
      </w:r>
      <w:proofErr w:type="spellStart"/>
      <w:r>
        <w:rPr>
          <w:sz w:val="24"/>
        </w:rPr>
        <w:t>Dozimetri</w:t>
      </w:r>
      <w:proofErr w:type="spellEnd"/>
      <w:r>
        <w:rPr>
          <w:spacing w:val="-5"/>
          <w:sz w:val="24"/>
        </w:rPr>
        <w:t xml:space="preserve"> </w:t>
      </w:r>
      <w:r>
        <w:rPr>
          <w:sz w:val="24"/>
        </w:rPr>
        <w:t>Laboratuvarı</w:t>
      </w:r>
      <w:r>
        <w:rPr>
          <w:spacing w:val="-6"/>
          <w:sz w:val="24"/>
        </w:rPr>
        <w:t xml:space="preserve"> </w:t>
      </w:r>
      <w:r>
        <w:rPr>
          <w:sz w:val="24"/>
        </w:rPr>
        <w:t>ile hizmet alan kişi/kurum/tüzel kişi arasında akdedilmiştir.</w:t>
      </w:r>
    </w:p>
    <w:p w:rsidR="00F42346" w:rsidRDefault="00F42346">
      <w:pPr>
        <w:pStyle w:val="GvdeMetni"/>
        <w:spacing w:before="10"/>
        <w:rPr>
          <w:sz w:val="20"/>
        </w:rPr>
      </w:pPr>
    </w:p>
    <w:p w:rsidR="00F42346" w:rsidRDefault="00FD68CE">
      <w:pPr>
        <w:pStyle w:val="ListeParagraf"/>
        <w:numPr>
          <w:ilvl w:val="2"/>
          <w:numId w:val="2"/>
        </w:numPr>
        <w:tabs>
          <w:tab w:val="left" w:pos="647"/>
        </w:tabs>
        <w:spacing w:before="1"/>
        <w:ind w:left="107" w:right="99" w:firstLine="0"/>
        <w:jc w:val="both"/>
        <w:rPr>
          <w:sz w:val="24"/>
        </w:rPr>
      </w:pPr>
      <w:r>
        <w:rPr>
          <w:sz w:val="24"/>
        </w:rPr>
        <w:t>İkincil</w:t>
      </w:r>
      <w:r>
        <w:rPr>
          <w:spacing w:val="-7"/>
          <w:sz w:val="24"/>
        </w:rPr>
        <w:t xml:space="preserve"> </w:t>
      </w:r>
      <w:r>
        <w:rPr>
          <w:sz w:val="24"/>
        </w:rPr>
        <w:t>Standart</w:t>
      </w:r>
      <w:r>
        <w:rPr>
          <w:spacing w:val="-5"/>
          <w:sz w:val="24"/>
        </w:rPr>
        <w:t xml:space="preserve"> </w:t>
      </w:r>
      <w:proofErr w:type="spellStart"/>
      <w:r>
        <w:rPr>
          <w:sz w:val="24"/>
        </w:rPr>
        <w:t>Dozimetri</w:t>
      </w:r>
      <w:proofErr w:type="spellEnd"/>
      <w:r>
        <w:rPr>
          <w:spacing w:val="-5"/>
          <w:sz w:val="24"/>
        </w:rPr>
        <w:t xml:space="preserve"> </w:t>
      </w:r>
      <w:r>
        <w:rPr>
          <w:sz w:val="24"/>
        </w:rPr>
        <w:t>Laboratuvarı’ndan</w:t>
      </w:r>
      <w:r>
        <w:rPr>
          <w:spacing w:val="-6"/>
          <w:sz w:val="24"/>
        </w:rPr>
        <w:t xml:space="preserve"> </w:t>
      </w:r>
      <w:proofErr w:type="gramStart"/>
      <w:r>
        <w:rPr>
          <w:sz w:val="24"/>
        </w:rPr>
        <w:t>kalibrasyon</w:t>
      </w:r>
      <w:proofErr w:type="gramEnd"/>
      <w:r>
        <w:rPr>
          <w:sz w:val="24"/>
        </w:rPr>
        <w:t>/ışınlama</w:t>
      </w:r>
      <w:r>
        <w:rPr>
          <w:spacing w:val="-6"/>
          <w:sz w:val="24"/>
        </w:rPr>
        <w:t xml:space="preserve"> </w:t>
      </w:r>
      <w:r>
        <w:rPr>
          <w:sz w:val="24"/>
        </w:rPr>
        <w:t>hizmeti</w:t>
      </w:r>
      <w:r>
        <w:rPr>
          <w:spacing w:val="-7"/>
          <w:sz w:val="24"/>
        </w:rPr>
        <w:t xml:space="preserve"> </w:t>
      </w:r>
      <w:r>
        <w:rPr>
          <w:sz w:val="24"/>
        </w:rPr>
        <w:t>talebinde</w:t>
      </w:r>
      <w:r>
        <w:rPr>
          <w:spacing w:val="-7"/>
          <w:sz w:val="24"/>
        </w:rPr>
        <w:t xml:space="preserve"> </w:t>
      </w:r>
      <w:r>
        <w:rPr>
          <w:sz w:val="24"/>
        </w:rPr>
        <w:t>bulunan</w:t>
      </w:r>
      <w:r>
        <w:rPr>
          <w:spacing w:val="-4"/>
          <w:sz w:val="24"/>
        </w:rPr>
        <w:t xml:space="preserve"> </w:t>
      </w:r>
      <w:r>
        <w:rPr>
          <w:sz w:val="24"/>
        </w:rPr>
        <w:t>kişi,</w:t>
      </w:r>
      <w:r>
        <w:rPr>
          <w:spacing w:val="-7"/>
          <w:sz w:val="24"/>
        </w:rPr>
        <w:t xml:space="preserve"> </w:t>
      </w:r>
      <w:r>
        <w:rPr>
          <w:sz w:val="24"/>
        </w:rPr>
        <w:t>kurum ve tüzel kişi metnin bundan sonraki kısmında “Müşteri” olarak adlandırılacaktır.</w:t>
      </w:r>
    </w:p>
    <w:p w:rsidR="00F42346" w:rsidRDefault="00F42346">
      <w:pPr>
        <w:pStyle w:val="GvdeMetni"/>
        <w:spacing w:before="9"/>
        <w:rPr>
          <w:sz w:val="20"/>
        </w:rPr>
      </w:pPr>
    </w:p>
    <w:p w:rsidR="00F42346" w:rsidRDefault="00FD68CE">
      <w:pPr>
        <w:pStyle w:val="ListeParagraf"/>
        <w:numPr>
          <w:ilvl w:val="2"/>
          <w:numId w:val="2"/>
        </w:numPr>
        <w:tabs>
          <w:tab w:val="left" w:pos="704"/>
        </w:tabs>
        <w:spacing w:before="1"/>
        <w:ind w:left="107" w:right="100" w:firstLine="0"/>
        <w:jc w:val="both"/>
        <w:rPr>
          <w:sz w:val="24"/>
        </w:rPr>
      </w:pPr>
      <w:r>
        <w:rPr>
          <w:sz w:val="24"/>
        </w:rPr>
        <w:t xml:space="preserve">İkincil Standart </w:t>
      </w:r>
      <w:proofErr w:type="spellStart"/>
      <w:r>
        <w:rPr>
          <w:sz w:val="24"/>
        </w:rPr>
        <w:t>Dozimetri</w:t>
      </w:r>
      <w:proofErr w:type="spellEnd"/>
      <w:r>
        <w:rPr>
          <w:sz w:val="24"/>
        </w:rPr>
        <w:t xml:space="preserve"> Laboratuvarı’ndan talep edilen her türlü </w:t>
      </w:r>
      <w:proofErr w:type="gramStart"/>
      <w:r>
        <w:rPr>
          <w:sz w:val="24"/>
        </w:rPr>
        <w:t>kalibrasyon</w:t>
      </w:r>
      <w:proofErr w:type="gramEnd"/>
      <w:r>
        <w:rPr>
          <w:sz w:val="24"/>
        </w:rPr>
        <w:t>/ışınlama hizmetinin verilmesi</w:t>
      </w:r>
      <w:r>
        <w:rPr>
          <w:b/>
          <w:sz w:val="24"/>
        </w:rPr>
        <w:t xml:space="preserve">, </w:t>
      </w:r>
      <w:r>
        <w:rPr>
          <w:sz w:val="24"/>
        </w:rPr>
        <w:t>e</w:t>
      </w:r>
      <w:r>
        <w:rPr>
          <w:b/>
          <w:sz w:val="24"/>
        </w:rPr>
        <w:t>-</w:t>
      </w:r>
      <w:r>
        <w:rPr>
          <w:sz w:val="24"/>
        </w:rPr>
        <w:t>Devlet kapısı üzerinden kalibrasyon/ışınlama talebinde bulunulması, iş bu sözleşmenin kabul edilmesi ve başvurunun tamamlanması ile</w:t>
      </w:r>
      <w:r>
        <w:rPr>
          <w:spacing w:val="-3"/>
          <w:sz w:val="24"/>
        </w:rPr>
        <w:t xml:space="preserve"> </w:t>
      </w:r>
      <w:r>
        <w:rPr>
          <w:sz w:val="24"/>
        </w:rPr>
        <w:t>başlar.</w:t>
      </w:r>
    </w:p>
    <w:p w:rsidR="00F42346" w:rsidRDefault="00F42346">
      <w:pPr>
        <w:pStyle w:val="GvdeMetni"/>
        <w:spacing w:before="10"/>
        <w:rPr>
          <w:sz w:val="20"/>
        </w:rPr>
      </w:pPr>
    </w:p>
    <w:p w:rsidR="00F42346" w:rsidRDefault="00FD68CE">
      <w:pPr>
        <w:pStyle w:val="ListeParagraf"/>
        <w:numPr>
          <w:ilvl w:val="2"/>
          <w:numId w:val="2"/>
        </w:numPr>
        <w:tabs>
          <w:tab w:val="left" w:pos="661"/>
        </w:tabs>
        <w:ind w:left="107" w:right="102" w:firstLine="0"/>
        <w:jc w:val="both"/>
        <w:rPr>
          <w:sz w:val="24"/>
        </w:rPr>
      </w:pPr>
      <w:r>
        <w:rPr>
          <w:sz w:val="24"/>
        </w:rPr>
        <w:t xml:space="preserve">İkincil Standart </w:t>
      </w:r>
      <w:proofErr w:type="spellStart"/>
      <w:r>
        <w:rPr>
          <w:sz w:val="24"/>
        </w:rPr>
        <w:t>Dozimetri</w:t>
      </w:r>
      <w:proofErr w:type="spellEnd"/>
      <w:r>
        <w:rPr>
          <w:sz w:val="24"/>
        </w:rPr>
        <w:t xml:space="preserve"> Laboratuvarı, TENMAK internet sitesinde ilan edilen “TENMAK Hizmet ve İşlem Bedelleri” listesindeki </w:t>
      </w:r>
      <w:proofErr w:type="gramStart"/>
      <w:r>
        <w:rPr>
          <w:sz w:val="24"/>
        </w:rPr>
        <w:t>kalibrasyon</w:t>
      </w:r>
      <w:proofErr w:type="gramEnd"/>
      <w:r>
        <w:rPr>
          <w:sz w:val="24"/>
        </w:rPr>
        <w:t xml:space="preserve">/ışınlama hizmeti taleplerini, kendi imkanları dahilinde karşılamaktan sorumlu olup, dış tedarikçi kullanılmamaktadır. İkincil Standart </w:t>
      </w:r>
      <w:proofErr w:type="spellStart"/>
      <w:r>
        <w:rPr>
          <w:sz w:val="24"/>
        </w:rPr>
        <w:t>Dozimetri</w:t>
      </w:r>
      <w:proofErr w:type="spellEnd"/>
      <w:r>
        <w:rPr>
          <w:sz w:val="24"/>
        </w:rPr>
        <w:t xml:space="preserve"> Laboratuvarı, verilen </w:t>
      </w:r>
      <w:proofErr w:type="gramStart"/>
      <w:r>
        <w:rPr>
          <w:sz w:val="24"/>
        </w:rPr>
        <w:t>kalibrasyon</w:t>
      </w:r>
      <w:proofErr w:type="gramEnd"/>
      <w:r>
        <w:rPr>
          <w:sz w:val="24"/>
        </w:rPr>
        <w:t>/ışınlama hizmetleri arasında olmayan taleplerin karşılanmasından sorumlu</w:t>
      </w:r>
      <w:r>
        <w:rPr>
          <w:spacing w:val="-5"/>
          <w:sz w:val="24"/>
        </w:rPr>
        <w:t xml:space="preserve"> </w:t>
      </w:r>
      <w:r>
        <w:rPr>
          <w:sz w:val="24"/>
        </w:rPr>
        <w:t>tutulamaz.</w:t>
      </w:r>
    </w:p>
    <w:p w:rsidR="00F42346" w:rsidRDefault="00F42346">
      <w:pPr>
        <w:pStyle w:val="GvdeMetni"/>
        <w:spacing w:before="10"/>
        <w:rPr>
          <w:sz w:val="20"/>
        </w:rPr>
      </w:pPr>
    </w:p>
    <w:p w:rsidR="00F42346" w:rsidRDefault="00FD68CE">
      <w:pPr>
        <w:pStyle w:val="ListeParagraf"/>
        <w:numPr>
          <w:ilvl w:val="2"/>
          <w:numId w:val="2"/>
        </w:numPr>
        <w:tabs>
          <w:tab w:val="left" w:pos="757"/>
        </w:tabs>
        <w:ind w:left="107" w:right="182" w:firstLine="0"/>
        <w:jc w:val="both"/>
        <w:rPr>
          <w:sz w:val="24"/>
        </w:rPr>
      </w:pPr>
      <w:r>
        <w:rPr>
          <w:sz w:val="24"/>
        </w:rPr>
        <w:t xml:space="preserve">İkincil Standart </w:t>
      </w:r>
      <w:proofErr w:type="spellStart"/>
      <w:r>
        <w:rPr>
          <w:sz w:val="24"/>
        </w:rPr>
        <w:t>Dozimetri</w:t>
      </w:r>
      <w:proofErr w:type="spellEnd"/>
      <w:r>
        <w:rPr>
          <w:sz w:val="24"/>
        </w:rPr>
        <w:t xml:space="preserve"> Laboratuvarı, aksi belirtilmedikçe talep edilen </w:t>
      </w:r>
      <w:proofErr w:type="gramStart"/>
      <w:r>
        <w:rPr>
          <w:sz w:val="24"/>
        </w:rPr>
        <w:t>kalibrasyon</w:t>
      </w:r>
      <w:proofErr w:type="gramEnd"/>
      <w:r>
        <w:rPr>
          <w:sz w:val="24"/>
        </w:rPr>
        <w:t>/ışınlama hizmetlerini, ulusal ve uluslararası standartlara, standart hükmündeki kılavuzlara, bunların olmaması durumunda cihaz/sistem üreticileri tarafından verilen teknik dokümanlara ve kullanım kılavuzlarına uygun olarak verir. Talep edilen yöntemin uygun veya güncel olmadığı değerlendirildiğinde müşteri</w:t>
      </w:r>
      <w:r>
        <w:rPr>
          <w:spacing w:val="-12"/>
          <w:sz w:val="24"/>
        </w:rPr>
        <w:t xml:space="preserve"> </w:t>
      </w:r>
      <w:r>
        <w:rPr>
          <w:sz w:val="24"/>
        </w:rPr>
        <w:t>bilgilendirilir.</w:t>
      </w:r>
    </w:p>
    <w:p w:rsidR="00F42346" w:rsidRDefault="00F42346">
      <w:pPr>
        <w:pStyle w:val="GvdeMetni"/>
        <w:spacing w:before="6"/>
      </w:pPr>
    </w:p>
    <w:p w:rsidR="00F42346" w:rsidRDefault="00FD68CE">
      <w:pPr>
        <w:pStyle w:val="Balk1"/>
        <w:numPr>
          <w:ilvl w:val="1"/>
          <w:numId w:val="2"/>
        </w:numPr>
        <w:tabs>
          <w:tab w:val="left" w:pos="468"/>
        </w:tabs>
        <w:ind w:hanging="361"/>
        <w:jc w:val="both"/>
      </w:pPr>
      <w:r>
        <w:t>Tanımlar:</w:t>
      </w:r>
    </w:p>
    <w:p w:rsidR="00F42346" w:rsidRDefault="00F42346">
      <w:pPr>
        <w:pStyle w:val="GvdeMetni"/>
        <w:spacing w:before="6"/>
        <w:rPr>
          <w:b/>
          <w:sz w:val="23"/>
        </w:rPr>
      </w:pPr>
    </w:p>
    <w:p w:rsidR="00F42346" w:rsidRDefault="00FD68CE">
      <w:pPr>
        <w:pStyle w:val="GvdeMetni"/>
        <w:ind w:left="107"/>
      </w:pPr>
      <w:r>
        <w:rPr>
          <w:b/>
        </w:rPr>
        <w:t xml:space="preserve">Kalibrasyon/ışınlama: </w:t>
      </w:r>
      <w:r>
        <w:t xml:space="preserve">NÜKEN İkincil Standart </w:t>
      </w:r>
      <w:proofErr w:type="spellStart"/>
      <w:r>
        <w:t>Dozimetri</w:t>
      </w:r>
      <w:proofErr w:type="spellEnd"/>
      <w:r>
        <w:t xml:space="preserve"> Laboratuvarı tarafından gerçekleştirilen ve radyasyon ölçümlerinde kullanılan cihazların/</w:t>
      </w:r>
      <w:proofErr w:type="spellStart"/>
      <w:r>
        <w:t>dozimetrelerin</w:t>
      </w:r>
      <w:proofErr w:type="spellEnd"/>
      <w:r>
        <w:t xml:space="preserve"> </w:t>
      </w:r>
      <w:proofErr w:type="gramStart"/>
      <w:r>
        <w:t>kalibrasyonu</w:t>
      </w:r>
      <w:proofErr w:type="gramEnd"/>
      <w:r>
        <w:t xml:space="preserve"> veya ışınlanması işlemleridir.</w:t>
      </w:r>
    </w:p>
    <w:p w:rsidR="00F42346" w:rsidRDefault="00F42346">
      <w:pPr>
        <w:pStyle w:val="GvdeMetni"/>
      </w:pPr>
    </w:p>
    <w:p w:rsidR="00F42346" w:rsidRDefault="00FD68CE">
      <w:pPr>
        <w:pStyle w:val="Balk1"/>
        <w:numPr>
          <w:ilvl w:val="0"/>
          <w:numId w:val="2"/>
        </w:numPr>
        <w:tabs>
          <w:tab w:val="left" w:pos="348"/>
        </w:tabs>
        <w:spacing w:before="1"/>
        <w:ind w:hanging="241"/>
        <w:jc w:val="both"/>
      </w:pPr>
      <w:r>
        <w:t>Kalibrasyon/Işınlama Hizmetlerine İlişkin Açıklamalar ve Ba</w:t>
      </w:r>
      <w:r>
        <w:rPr>
          <w:b w:val="0"/>
        </w:rPr>
        <w:t>ş</w:t>
      </w:r>
      <w:r>
        <w:t>vuru</w:t>
      </w:r>
      <w:r>
        <w:rPr>
          <w:spacing w:val="-6"/>
        </w:rPr>
        <w:t xml:space="preserve"> </w:t>
      </w:r>
      <w:r>
        <w:t>Şartları</w:t>
      </w:r>
    </w:p>
    <w:p w:rsidR="00F42346" w:rsidRDefault="00F42346">
      <w:pPr>
        <w:pStyle w:val="GvdeMetni"/>
        <w:spacing w:before="4"/>
        <w:rPr>
          <w:b/>
        </w:rPr>
      </w:pPr>
    </w:p>
    <w:p w:rsidR="00F42346" w:rsidRDefault="00FD68CE">
      <w:pPr>
        <w:pStyle w:val="ListeParagraf"/>
        <w:numPr>
          <w:ilvl w:val="1"/>
          <w:numId w:val="2"/>
        </w:numPr>
        <w:tabs>
          <w:tab w:val="left" w:pos="468"/>
        </w:tabs>
        <w:ind w:hanging="361"/>
        <w:rPr>
          <w:b/>
          <w:sz w:val="24"/>
        </w:rPr>
      </w:pPr>
      <w:r>
        <w:rPr>
          <w:b/>
          <w:sz w:val="24"/>
        </w:rPr>
        <w:t>İletişim</w:t>
      </w:r>
    </w:p>
    <w:p w:rsidR="00D602A2" w:rsidRDefault="009201F8" w:rsidP="009201F8">
      <w:pPr>
        <w:ind w:left="107" w:right="5888"/>
        <w:rPr>
          <w:b/>
          <w:sz w:val="24"/>
        </w:rPr>
      </w:pPr>
      <w:r>
        <w:rPr>
          <w:b/>
          <w:sz w:val="24"/>
        </w:rPr>
        <w:t xml:space="preserve">TENMAK </w:t>
      </w:r>
      <w:r w:rsidR="00FD68CE">
        <w:rPr>
          <w:b/>
          <w:sz w:val="24"/>
        </w:rPr>
        <w:t>Nükleer Enerji Araştırma Enstitüsü</w:t>
      </w:r>
      <w:r w:rsidR="00D602A2">
        <w:rPr>
          <w:b/>
          <w:sz w:val="24"/>
        </w:rPr>
        <w:t xml:space="preserve"> (İstanbul Yerleşkesi)</w:t>
      </w:r>
    </w:p>
    <w:p w:rsidR="00D602A2" w:rsidRDefault="00FD68CE" w:rsidP="009201F8">
      <w:pPr>
        <w:ind w:left="107" w:right="5888"/>
        <w:rPr>
          <w:sz w:val="24"/>
        </w:rPr>
      </w:pPr>
      <w:r>
        <w:rPr>
          <w:sz w:val="24"/>
        </w:rPr>
        <w:t xml:space="preserve">İkincil Standart </w:t>
      </w:r>
      <w:proofErr w:type="spellStart"/>
      <w:r>
        <w:rPr>
          <w:sz w:val="24"/>
        </w:rPr>
        <w:t>Dozimetri</w:t>
      </w:r>
      <w:proofErr w:type="spellEnd"/>
      <w:r>
        <w:rPr>
          <w:sz w:val="24"/>
        </w:rPr>
        <w:t xml:space="preserve"> Laboratuvarı </w:t>
      </w:r>
    </w:p>
    <w:p w:rsidR="00D602A2" w:rsidRDefault="00D602A2" w:rsidP="009201F8">
      <w:pPr>
        <w:ind w:left="107" w:right="5888"/>
        <w:rPr>
          <w:sz w:val="24"/>
        </w:rPr>
      </w:pPr>
      <w:proofErr w:type="spellStart"/>
      <w:r>
        <w:rPr>
          <w:sz w:val="24"/>
        </w:rPr>
        <w:t>Yarımburgaz</w:t>
      </w:r>
      <w:proofErr w:type="spellEnd"/>
      <w:r>
        <w:rPr>
          <w:sz w:val="24"/>
        </w:rPr>
        <w:t xml:space="preserve"> Mahallesi 2441. Sok. Nükleer Araştırma Merkezi Yolu No:</w:t>
      </w:r>
      <w:proofErr w:type="gramStart"/>
      <w:r>
        <w:rPr>
          <w:sz w:val="24"/>
        </w:rPr>
        <w:t>10  P</w:t>
      </w:r>
      <w:proofErr w:type="gramEnd"/>
      <w:r>
        <w:rPr>
          <w:sz w:val="24"/>
        </w:rPr>
        <w:t>.K: 34303</w:t>
      </w:r>
      <w:r w:rsidR="00FD68CE">
        <w:rPr>
          <w:sz w:val="24"/>
        </w:rPr>
        <w:t xml:space="preserve"> </w:t>
      </w:r>
      <w:r>
        <w:rPr>
          <w:sz w:val="24"/>
        </w:rPr>
        <w:t xml:space="preserve">Küçükçekmece / İstanbul </w:t>
      </w:r>
    </w:p>
    <w:p w:rsidR="00F42346" w:rsidRDefault="00FD68CE" w:rsidP="009201F8">
      <w:pPr>
        <w:ind w:left="107" w:right="5888"/>
        <w:rPr>
          <w:sz w:val="24"/>
        </w:rPr>
      </w:pPr>
      <w:r>
        <w:rPr>
          <w:sz w:val="24"/>
        </w:rPr>
        <w:t>Tel: 0</w:t>
      </w:r>
      <w:r w:rsidR="00D602A2">
        <w:rPr>
          <w:sz w:val="24"/>
        </w:rPr>
        <w:t>212 4732600</w:t>
      </w:r>
    </w:p>
    <w:p w:rsidR="00F42346" w:rsidRDefault="00FD68CE">
      <w:pPr>
        <w:pStyle w:val="GvdeMetni"/>
        <w:spacing w:line="272" w:lineRule="exact"/>
        <w:ind w:left="107"/>
      </w:pPr>
      <w:r>
        <w:t xml:space="preserve">Faks: </w:t>
      </w:r>
      <w:r w:rsidR="00D602A2">
        <w:t>0212 4732634</w:t>
      </w:r>
    </w:p>
    <w:p w:rsidR="00F42346" w:rsidRDefault="00F42346">
      <w:pPr>
        <w:pStyle w:val="GvdeMetni"/>
        <w:spacing w:before="7"/>
        <w:rPr>
          <w:sz w:val="16"/>
        </w:rPr>
      </w:pPr>
    </w:p>
    <w:p w:rsidR="00F42346" w:rsidRDefault="00F42346">
      <w:pPr>
        <w:pStyle w:val="GvdeMetni"/>
        <w:spacing w:before="7"/>
        <w:rPr>
          <w:sz w:val="16"/>
        </w:rPr>
      </w:pPr>
    </w:p>
    <w:p w:rsidR="00F42346" w:rsidRDefault="00FD68CE">
      <w:pPr>
        <w:pStyle w:val="Balk1"/>
        <w:numPr>
          <w:ilvl w:val="1"/>
          <w:numId w:val="2"/>
        </w:numPr>
        <w:tabs>
          <w:tab w:val="left" w:pos="468"/>
        </w:tabs>
        <w:spacing w:before="90"/>
        <w:ind w:hanging="361"/>
      </w:pPr>
      <w:r>
        <w:t>Cihazların/</w:t>
      </w:r>
      <w:proofErr w:type="spellStart"/>
      <w:r>
        <w:t>Dozimetrelerin</w:t>
      </w:r>
      <w:proofErr w:type="spellEnd"/>
      <w:r>
        <w:t xml:space="preserve"> İkincil Standart </w:t>
      </w:r>
      <w:proofErr w:type="spellStart"/>
      <w:r>
        <w:t>Dozimetri</w:t>
      </w:r>
      <w:proofErr w:type="spellEnd"/>
      <w:r>
        <w:t xml:space="preserve"> Laboratuvarı’na</w:t>
      </w:r>
      <w:r>
        <w:rPr>
          <w:spacing w:val="-2"/>
        </w:rPr>
        <w:t xml:space="preserve"> </w:t>
      </w:r>
      <w:r>
        <w:t>Ulaştırılması</w:t>
      </w:r>
    </w:p>
    <w:p w:rsidR="00F42346" w:rsidRDefault="00F42346">
      <w:pPr>
        <w:pStyle w:val="GvdeMetni"/>
        <w:spacing w:before="7"/>
        <w:rPr>
          <w:b/>
          <w:sz w:val="23"/>
        </w:rPr>
      </w:pPr>
    </w:p>
    <w:p w:rsidR="00F42346" w:rsidRDefault="00FD68CE">
      <w:pPr>
        <w:pStyle w:val="GvdeMetni"/>
        <w:ind w:left="107"/>
      </w:pPr>
      <w:r>
        <w:t>Kalibrasyon/ışınlama hizmeti süreci</w:t>
      </w:r>
      <w:r>
        <w:rPr>
          <w:b/>
        </w:rPr>
        <w:t xml:space="preserve">, </w:t>
      </w:r>
      <w:r>
        <w:t xml:space="preserve">e-Devlet kapısı üzerinden </w:t>
      </w:r>
      <w:proofErr w:type="gramStart"/>
      <w:r>
        <w:t>kalibrasyon</w:t>
      </w:r>
      <w:proofErr w:type="gramEnd"/>
      <w:r>
        <w:t>/ışınlama talebinde bulunulması, iş bu sözleşmenin kabul edilmesi ve başvurunun tamamlanması ile başlar.</w:t>
      </w:r>
    </w:p>
    <w:p w:rsidR="00F42346" w:rsidRDefault="00F42346">
      <w:pPr>
        <w:sectPr w:rsidR="00F42346" w:rsidSect="00CB7280">
          <w:headerReference w:type="default" r:id="rId7"/>
          <w:footerReference w:type="default" r:id="rId8"/>
          <w:type w:val="continuous"/>
          <w:pgSz w:w="11910" w:h="16840"/>
          <w:pgMar w:top="720" w:right="720" w:bottom="720" w:left="720" w:header="737" w:footer="170" w:gutter="0"/>
          <w:cols w:space="708"/>
          <w:docGrid w:linePitch="299"/>
        </w:sectPr>
      </w:pPr>
    </w:p>
    <w:p w:rsidR="00F42346" w:rsidRDefault="00F42346">
      <w:pPr>
        <w:pStyle w:val="GvdeMetni"/>
        <w:rPr>
          <w:sz w:val="15"/>
        </w:rPr>
      </w:pPr>
    </w:p>
    <w:p w:rsidR="00F42346" w:rsidRDefault="00FD68CE">
      <w:pPr>
        <w:pStyle w:val="GvdeMetni"/>
        <w:spacing w:before="90"/>
        <w:ind w:left="107" w:right="101"/>
        <w:jc w:val="both"/>
      </w:pPr>
      <w:r>
        <w:t>Başvuru tamamlandıktan ve ödeme yapıldıktan sonra TENMAK tarafından Başvuru Formunda bildirilen müşteriye ait e-posta adresine başvurunun onaylandığı ve cihazın/</w:t>
      </w:r>
      <w:proofErr w:type="spellStart"/>
      <w:r>
        <w:t>dozimetrelerin</w:t>
      </w:r>
      <w:proofErr w:type="spellEnd"/>
      <w:r>
        <w:t xml:space="preserve"> gönderilmesi gerektiğine dair e-posta gönderilir. Başvurunun onaylandığına ilişkin e-posta alınmadan cihazlar/</w:t>
      </w:r>
      <w:proofErr w:type="spellStart"/>
      <w:r>
        <w:t>dozimetreler</w:t>
      </w:r>
      <w:proofErr w:type="spellEnd"/>
      <w:r>
        <w:t xml:space="preserve"> gönderilmez. Müşteri, onay mesajı</w:t>
      </w:r>
      <w:r w:rsidR="00D602A2">
        <w:t xml:space="preserve">nı aldıktan </w:t>
      </w:r>
      <w:r>
        <w:t xml:space="preserve">sonra </w:t>
      </w:r>
      <w:proofErr w:type="gramStart"/>
      <w:r>
        <w:t>kalibrasyonu</w:t>
      </w:r>
      <w:proofErr w:type="gramEnd"/>
      <w:r>
        <w:t xml:space="preserve"> yapılacak cihazları veya ışınlanacak </w:t>
      </w:r>
      <w:proofErr w:type="spellStart"/>
      <w:r>
        <w:t>dozimetreleri</w:t>
      </w:r>
      <w:proofErr w:type="spellEnd"/>
      <w:r>
        <w:t xml:space="preserve"> Madde 2.1’de belirtilen adrese kargo veya posta aracılığıyla gönderir. NÜKEN, cihazları müşterinin adresinden almaktan sorumlu değildir. Cihazların </w:t>
      </w:r>
      <w:proofErr w:type="spellStart"/>
      <w:r>
        <w:t>NÜKEN’e</w:t>
      </w:r>
      <w:proofErr w:type="spellEnd"/>
      <w:r>
        <w:t xml:space="preserve"> ulaştırılması müşterinin sorumluluğundadır. Gönderi ücreti müşteriye aittir. Gönderilerde Adres kısmına “İkincil Standart </w:t>
      </w:r>
      <w:proofErr w:type="spellStart"/>
      <w:r>
        <w:t>Dozimetri</w:t>
      </w:r>
      <w:proofErr w:type="spellEnd"/>
      <w:r>
        <w:t xml:space="preserve"> Laboratuvarı” mutlaka yazılmalıdır. Cihazların/</w:t>
      </w:r>
      <w:proofErr w:type="spellStart"/>
      <w:r>
        <w:t>dozimetrelerin</w:t>
      </w:r>
      <w:proofErr w:type="spellEnd"/>
      <w:r>
        <w:rPr>
          <w:spacing w:val="-5"/>
        </w:rPr>
        <w:t xml:space="preserve"> </w:t>
      </w:r>
      <w:r>
        <w:t>nakliye</w:t>
      </w:r>
      <w:r>
        <w:rPr>
          <w:spacing w:val="-7"/>
        </w:rPr>
        <w:t xml:space="preserve"> </w:t>
      </w:r>
      <w:r>
        <w:t>sırasında</w:t>
      </w:r>
      <w:r>
        <w:rPr>
          <w:spacing w:val="-6"/>
        </w:rPr>
        <w:t xml:space="preserve"> </w:t>
      </w:r>
      <w:r>
        <w:t>hasar</w:t>
      </w:r>
      <w:r>
        <w:rPr>
          <w:spacing w:val="-3"/>
        </w:rPr>
        <w:t xml:space="preserve"> </w:t>
      </w:r>
      <w:r>
        <w:t>görmeyecek</w:t>
      </w:r>
      <w:r>
        <w:rPr>
          <w:spacing w:val="-6"/>
        </w:rPr>
        <w:t xml:space="preserve"> </w:t>
      </w:r>
      <w:r>
        <w:t>şekilde</w:t>
      </w:r>
      <w:r>
        <w:rPr>
          <w:spacing w:val="-6"/>
        </w:rPr>
        <w:t xml:space="preserve"> </w:t>
      </w:r>
      <w:r>
        <w:t>ambalajlanarak</w:t>
      </w:r>
      <w:r>
        <w:rPr>
          <w:spacing w:val="-6"/>
        </w:rPr>
        <w:t xml:space="preserve"> </w:t>
      </w:r>
      <w:r>
        <w:t>e-Devlet</w:t>
      </w:r>
      <w:r>
        <w:rPr>
          <w:spacing w:val="-5"/>
        </w:rPr>
        <w:t xml:space="preserve"> </w:t>
      </w:r>
      <w:r>
        <w:t>Başvuru</w:t>
      </w:r>
      <w:r>
        <w:rPr>
          <w:spacing w:val="-7"/>
        </w:rPr>
        <w:t xml:space="preserve"> </w:t>
      </w:r>
      <w:r>
        <w:t>Formu ve</w:t>
      </w:r>
      <w:r>
        <w:rPr>
          <w:spacing w:val="-15"/>
        </w:rPr>
        <w:t xml:space="preserve"> </w:t>
      </w:r>
      <w:r>
        <w:t>varsa</w:t>
      </w:r>
      <w:r>
        <w:rPr>
          <w:spacing w:val="-13"/>
        </w:rPr>
        <w:t xml:space="preserve"> </w:t>
      </w:r>
      <w:r>
        <w:t>cihaza</w:t>
      </w:r>
      <w:r>
        <w:rPr>
          <w:spacing w:val="-14"/>
        </w:rPr>
        <w:t xml:space="preserve"> </w:t>
      </w:r>
      <w:r>
        <w:t>ait</w:t>
      </w:r>
      <w:r>
        <w:rPr>
          <w:spacing w:val="-14"/>
        </w:rPr>
        <w:t xml:space="preserve"> </w:t>
      </w:r>
      <w:r>
        <w:t>Kullanma</w:t>
      </w:r>
      <w:r>
        <w:rPr>
          <w:spacing w:val="-14"/>
        </w:rPr>
        <w:t xml:space="preserve"> </w:t>
      </w:r>
      <w:r>
        <w:t>Kılavuzu</w:t>
      </w:r>
      <w:r>
        <w:rPr>
          <w:spacing w:val="-13"/>
        </w:rPr>
        <w:t xml:space="preserve"> </w:t>
      </w:r>
      <w:r>
        <w:t>veya</w:t>
      </w:r>
      <w:r>
        <w:rPr>
          <w:spacing w:val="-13"/>
        </w:rPr>
        <w:t xml:space="preserve"> </w:t>
      </w:r>
      <w:r>
        <w:t>teknik</w:t>
      </w:r>
      <w:r>
        <w:rPr>
          <w:spacing w:val="-11"/>
        </w:rPr>
        <w:t xml:space="preserve"> </w:t>
      </w:r>
      <w:r>
        <w:t>dokümanların</w:t>
      </w:r>
      <w:r>
        <w:rPr>
          <w:spacing w:val="-14"/>
        </w:rPr>
        <w:t xml:space="preserve"> </w:t>
      </w:r>
      <w:r>
        <w:t>bir</w:t>
      </w:r>
      <w:r>
        <w:rPr>
          <w:spacing w:val="-14"/>
        </w:rPr>
        <w:t xml:space="preserve"> </w:t>
      </w:r>
      <w:r>
        <w:t>kopyası</w:t>
      </w:r>
      <w:r>
        <w:rPr>
          <w:spacing w:val="-9"/>
        </w:rPr>
        <w:t xml:space="preserve"> </w:t>
      </w:r>
      <w:r>
        <w:t>ile</w:t>
      </w:r>
      <w:r>
        <w:rPr>
          <w:spacing w:val="-14"/>
        </w:rPr>
        <w:t xml:space="preserve"> </w:t>
      </w:r>
      <w:r>
        <w:t>birlikte</w:t>
      </w:r>
      <w:r>
        <w:rPr>
          <w:spacing w:val="-13"/>
        </w:rPr>
        <w:t xml:space="preserve"> </w:t>
      </w:r>
      <w:proofErr w:type="spellStart"/>
      <w:r>
        <w:t>NÜKEN’e</w:t>
      </w:r>
      <w:proofErr w:type="spellEnd"/>
      <w:r>
        <w:rPr>
          <w:spacing w:val="-15"/>
        </w:rPr>
        <w:t xml:space="preserve"> </w:t>
      </w:r>
      <w:r>
        <w:t xml:space="preserve">ulaştırılması gerekmektedir. NÜKEN, nakil sırasında olabilecek hasarlardan sorumlu değildir. Hasarlı cihazlar veya </w:t>
      </w:r>
      <w:proofErr w:type="spellStart"/>
      <w:r>
        <w:t>dozimetreler</w:t>
      </w:r>
      <w:proofErr w:type="spellEnd"/>
      <w:r>
        <w:t xml:space="preserve"> için </w:t>
      </w:r>
      <w:proofErr w:type="gramStart"/>
      <w:r>
        <w:t>kalibrasyon</w:t>
      </w:r>
      <w:proofErr w:type="gramEnd"/>
      <w:r>
        <w:t>/ışınlama hizmeti verilmez ve müşteriye bilgi verilerek iade</w:t>
      </w:r>
      <w:r>
        <w:rPr>
          <w:spacing w:val="-7"/>
        </w:rPr>
        <w:t xml:space="preserve"> </w:t>
      </w:r>
      <w:r>
        <w:t>edilir.</w:t>
      </w:r>
    </w:p>
    <w:p w:rsidR="00F42346" w:rsidRDefault="00F42346">
      <w:pPr>
        <w:pStyle w:val="GvdeMetni"/>
        <w:spacing w:before="1"/>
      </w:pPr>
    </w:p>
    <w:p w:rsidR="00F42346" w:rsidRDefault="00FD68CE">
      <w:pPr>
        <w:pStyle w:val="GvdeMetni"/>
        <w:ind w:left="107" w:right="114"/>
        <w:jc w:val="both"/>
      </w:pPr>
      <w:r>
        <w:t xml:space="preserve">Başvuru formundaki bilgiler ile gönderilen cihaza ait bilgilerin (marka, model, seri </w:t>
      </w:r>
      <w:proofErr w:type="spellStart"/>
      <w:r>
        <w:t>no</w:t>
      </w:r>
      <w:proofErr w:type="spellEnd"/>
      <w:r>
        <w:t>. vb.) uyuşmaması durumunda, gönderilen cihaza ait bilgiler esas alınarak işlem yapılır ve sertifika düzenlenir.</w:t>
      </w:r>
    </w:p>
    <w:p w:rsidR="00F42346" w:rsidRDefault="00F42346">
      <w:pPr>
        <w:pStyle w:val="GvdeMetni"/>
      </w:pPr>
    </w:p>
    <w:p w:rsidR="00F42346" w:rsidRDefault="00FD68CE">
      <w:pPr>
        <w:pStyle w:val="GvdeMetni"/>
        <w:ind w:left="107" w:right="101"/>
        <w:jc w:val="both"/>
      </w:pPr>
      <w:r>
        <w:t>Kalibrasyon/ışınlama hizmeti verilecek cihazların/</w:t>
      </w:r>
      <w:proofErr w:type="spellStart"/>
      <w:r>
        <w:t>dozimetrelerin</w:t>
      </w:r>
      <w:proofErr w:type="spellEnd"/>
      <w:r>
        <w:t xml:space="preserve"> elden teslim edilmesi talep edilirse, söz konusu</w:t>
      </w:r>
      <w:r>
        <w:rPr>
          <w:spacing w:val="-10"/>
        </w:rPr>
        <w:t xml:space="preserve"> </w:t>
      </w:r>
      <w:r>
        <w:t>cihazlar/</w:t>
      </w:r>
      <w:proofErr w:type="spellStart"/>
      <w:r>
        <w:t>dozimetreler</w:t>
      </w:r>
      <w:proofErr w:type="spellEnd"/>
      <w:r>
        <w:rPr>
          <w:spacing w:val="-10"/>
        </w:rPr>
        <w:t xml:space="preserve"> </w:t>
      </w:r>
      <w:r>
        <w:t>NÜKEN</w:t>
      </w:r>
      <w:r>
        <w:rPr>
          <w:spacing w:val="-10"/>
        </w:rPr>
        <w:t xml:space="preserve"> </w:t>
      </w:r>
      <w:r>
        <w:t>Hizmet</w:t>
      </w:r>
      <w:r>
        <w:rPr>
          <w:spacing w:val="-10"/>
        </w:rPr>
        <w:t xml:space="preserve"> </w:t>
      </w:r>
      <w:r>
        <w:t>Kabule</w:t>
      </w:r>
      <w:r>
        <w:rPr>
          <w:spacing w:val="-10"/>
        </w:rPr>
        <w:t xml:space="preserve"> </w:t>
      </w:r>
      <w:r>
        <w:t>teslim</w:t>
      </w:r>
      <w:r>
        <w:rPr>
          <w:spacing w:val="-9"/>
        </w:rPr>
        <w:t xml:space="preserve"> </w:t>
      </w:r>
      <w:r>
        <w:t>edilir</w:t>
      </w:r>
      <w:r>
        <w:rPr>
          <w:spacing w:val="-12"/>
        </w:rPr>
        <w:t xml:space="preserve"> </w:t>
      </w:r>
      <w:r>
        <w:t>ve</w:t>
      </w:r>
      <w:r>
        <w:rPr>
          <w:spacing w:val="-10"/>
        </w:rPr>
        <w:t xml:space="preserve"> </w:t>
      </w:r>
      <w:r>
        <w:t>Hizmet</w:t>
      </w:r>
      <w:r>
        <w:rPr>
          <w:spacing w:val="-10"/>
        </w:rPr>
        <w:t xml:space="preserve"> </w:t>
      </w:r>
      <w:r>
        <w:t>Kabul</w:t>
      </w:r>
      <w:r>
        <w:rPr>
          <w:spacing w:val="-9"/>
        </w:rPr>
        <w:t xml:space="preserve"> </w:t>
      </w:r>
      <w:r>
        <w:t>Görevlisi</w:t>
      </w:r>
      <w:r>
        <w:rPr>
          <w:spacing w:val="-9"/>
        </w:rPr>
        <w:t xml:space="preserve"> </w:t>
      </w:r>
      <w:r>
        <w:t>tarafından</w:t>
      </w:r>
      <w:r>
        <w:rPr>
          <w:spacing w:val="-8"/>
        </w:rPr>
        <w:t xml:space="preserve"> </w:t>
      </w:r>
      <w:r>
        <w:t>Cihaz Kabul ve İade Tutanağı Formu düzenlenir. Bu formun bir nüshası müşteriye</w:t>
      </w:r>
      <w:r>
        <w:rPr>
          <w:spacing w:val="-5"/>
        </w:rPr>
        <w:t xml:space="preserve"> </w:t>
      </w:r>
      <w:r>
        <w:t>verilir.</w:t>
      </w:r>
    </w:p>
    <w:p w:rsidR="00F42346" w:rsidRDefault="00F42346">
      <w:pPr>
        <w:pStyle w:val="GvdeMetni"/>
        <w:spacing w:before="5"/>
      </w:pPr>
    </w:p>
    <w:p w:rsidR="00F42346" w:rsidRDefault="00FD68CE">
      <w:pPr>
        <w:pStyle w:val="Balk1"/>
        <w:numPr>
          <w:ilvl w:val="1"/>
          <w:numId w:val="2"/>
        </w:numPr>
        <w:tabs>
          <w:tab w:val="left" w:pos="468"/>
        </w:tabs>
        <w:ind w:hanging="361"/>
      </w:pPr>
      <w:r>
        <w:t>Ödeme</w:t>
      </w:r>
      <w:r>
        <w:rPr>
          <w:spacing w:val="-2"/>
        </w:rPr>
        <w:t xml:space="preserve"> </w:t>
      </w:r>
      <w:r>
        <w:t>Şartları</w:t>
      </w:r>
    </w:p>
    <w:p w:rsidR="00F42346" w:rsidRDefault="00F42346">
      <w:pPr>
        <w:pStyle w:val="GvdeMetni"/>
        <w:spacing w:before="7"/>
        <w:rPr>
          <w:b/>
          <w:sz w:val="23"/>
        </w:rPr>
      </w:pPr>
    </w:p>
    <w:p w:rsidR="00F42346" w:rsidRDefault="00FD68CE">
      <w:pPr>
        <w:pStyle w:val="GvdeMetni"/>
        <w:ind w:left="107" w:right="103"/>
        <w:jc w:val="both"/>
      </w:pPr>
      <w:r>
        <w:t>Kalibrasyon/ışınlama hizmeti bedellerine TENMAK internet sitesinde ilan edilen “TENMAK Hizmet ve</w:t>
      </w:r>
      <w:r>
        <w:rPr>
          <w:spacing w:val="-40"/>
        </w:rPr>
        <w:t xml:space="preserve"> </w:t>
      </w:r>
      <w:r>
        <w:t>İşlem Bedelleri</w:t>
      </w:r>
      <w:r>
        <w:rPr>
          <w:b/>
        </w:rPr>
        <w:t>”</w:t>
      </w:r>
      <w:r>
        <w:rPr>
          <w:b/>
          <w:spacing w:val="-15"/>
        </w:rPr>
        <w:t xml:space="preserve"> </w:t>
      </w:r>
      <w:r>
        <w:t>listesinde</w:t>
      </w:r>
      <w:r>
        <w:rPr>
          <w:spacing w:val="-16"/>
        </w:rPr>
        <w:t xml:space="preserve"> </w:t>
      </w:r>
      <w:r>
        <w:t>01.00.00.00.00</w:t>
      </w:r>
      <w:r>
        <w:rPr>
          <w:spacing w:val="-14"/>
        </w:rPr>
        <w:t xml:space="preserve"> </w:t>
      </w:r>
      <w:r>
        <w:t>kodu</w:t>
      </w:r>
      <w:r>
        <w:rPr>
          <w:spacing w:val="-15"/>
        </w:rPr>
        <w:t xml:space="preserve"> </w:t>
      </w:r>
      <w:r>
        <w:t>altında</w:t>
      </w:r>
      <w:r>
        <w:rPr>
          <w:spacing w:val="-16"/>
        </w:rPr>
        <w:t xml:space="preserve"> </w:t>
      </w:r>
      <w:r>
        <w:t>verilmiştir.</w:t>
      </w:r>
      <w:r>
        <w:rPr>
          <w:spacing w:val="-13"/>
        </w:rPr>
        <w:t xml:space="preserve"> </w:t>
      </w:r>
      <w:r>
        <w:t>İkincil</w:t>
      </w:r>
      <w:r>
        <w:rPr>
          <w:spacing w:val="-14"/>
        </w:rPr>
        <w:t xml:space="preserve"> </w:t>
      </w:r>
      <w:r>
        <w:t>Standart</w:t>
      </w:r>
      <w:r>
        <w:rPr>
          <w:spacing w:val="-15"/>
        </w:rPr>
        <w:t xml:space="preserve"> </w:t>
      </w:r>
      <w:proofErr w:type="spellStart"/>
      <w:r>
        <w:t>Dozimetri</w:t>
      </w:r>
      <w:proofErr w:type="spellEnd"/>
      <w:r>
        <w:rPr>
          <w:spacing w:val="-15"/>
        </w:rPr>
        <w:t xml:space="preserve"> </w:t>
      </w:r>
      <w:r>
        <w:t>Laboratuvarı</w:t>
      </w:r>
      <w:r>
        <w:rPr>
          <w:spacing w:val="-12"/>
        </w:rPr>
        <w:t xml:space="preserve"> </w:t>
      </w:r>
      <w:r>
        <w:t>tarafından hangi hizmetlerin verildiği bu kod altında belirtilmiştir. Başvuru sırasında bu duruma dikkat edilmelidir. “TENMAK Hizmet ve İşlem Bedelleri</w:t>
      </w:r>
      <w:r>
        <w:rPr>
          <w:b/>
        </w:rPr>
        <w:t xml:space="preserve">” </w:t>
      </w:r>
      <w:r>
        <w:t xml:space="preserve">listesinde belirtilen fiyatlara KDV </w:t>
      </w:r>
      <w:proofErr w:type="gramStart"/>
      <w:r>
        <w:t>dahildir</w:t>
      </w:r>
      <w:proofErr w:type="gramEnd"/>
      <w:r>
        <w:t>. Hizmet ücretleri her mali yıl</w:t>
      </w:r>
      <w:r>
        <w:rPr>
          <w:spacing w:val="-17"/>
        </w:rPr>
        <w:t xml:space="preserve"> </w:t>
      </w:r>
      <w:r>
        <w:t>için</w:t>
      </w:r>
      <w:r>
        <w:rPr>
          <w:spacing w:val="-18"/>
        </w:rPr>
        <w:t xml:space="preserve"> </w:t>
      </w:r>
      <w:r>
        <w:t>belirlenmekte</w:t>
      </w:r>
      <w:r>
        <w:rPr>
          <w:spacing w:val="-17"/>
        </w:rPr>
        <w:t xml:space="preserve"> </w:t>
      </w:r>
      <w:r>
        <w:t>ve</w:t>
      </w:r>
      <w:r>
        <w:rPr>
          <w:spacing w:val="-14"/>
        </w:rPr>
        <w:t xml:space="preserve"> </w:t>
      </w:r>
      <w:r>
        <w:t>TENMAK</w:t>
      </w:r>
      <w:r>
        <w:rPr>
          <w:spacing w:val="-18"/>
        </w:rPr>
        <w:t xml:space="preserve"> </w:t>
      </w:r>
      <w:r>
        <w:t>internet</w:t>
      </w:r>
      <w:r>
        <w:rPr>
          <w:spacing w:val="-17"/>
        </w:rPr>
        <w:t xml:space="preserve"> </w:t>
      </w:r>
      <w:r>
        <w:t>sitesinde</w:t>
      </w:r>
      <w:r>
        <w:rPr>
          <w:spacing w:val="-17"/>
        </w:rPr>
        <w:t xml:space="preserve"> </w:t>
      </w:r>
      <w:r>
        <w:t>duyurulmaktadır.</w:t>
      </w:r>
      <w:r>
        <w:rPr>
          <w:spacing w:val="-14"/>
        </w:rPr>
        <w:t xml:space="preserve"> </w:t>
      </w:r>
      <w:r>
        <w:t>E-devlet</w:t>
      </w:r>
      <w:r>
        <w:rPr>
          <w:spacing w:val="-18"/>
        </w:rPr>
        <w:t xml:space="preserve"> </w:t>
      </w:r>
      <w:r>
        <w:t>üzerinden</w:t>
      </w:r>
      <w:r>
        <w:rPr>
          <w:spacing w:val="-12"/>
        </w:rPr>
        <w:t xml:space="preserve"> </w:t>
      </w:r>
      <w:r>
        <w:t>yapılan</w:t>
      </w:r>
      <w:r>
        <w:rPr>
          <w:spacing w:val="-15"/>
        </w:rPr>
        <w:t xml:space="preserve"> </w:t>
      </w:r>
      <w:r>
        <w:t>başvurularda ödeme, talep sonrası oluşan otomatik tahakkukun ödenmesi ile</w:t>
      </w:r>
      <w:r>
        <w:rPr>
          <w:spacing w:val="2"/>
        </w:rPr>
        <w:t xml:space="preserve"> </w:t>
      </w:r>
      <w:r>
        <w:t>yapılır.</w:t>
      </w:r>
    </w:p>
    <w:p w:rsidR="00F42346" w:rsidRDefault="00F42346">
      <w:pPr>
        <w:pStyle w:val="GvdeMetni"/>
        <w:spacing w:before="5"/>
      </w:pPr>
    </w:p>
    <w:p w:rsidR="00F42346" w:rsidRDefault="00FD68CE">
      <w:pPr>
        <w:pStyle w:val="Balk1"/>
        <w:numPr>
          <w:ilvl w:val="1"/>
          <w:numId w:val="2"/>
        </w:numPr>
        <w:tabs>
          <w:tab w:val="left" w:pos="468"/>
        </w:tabs>
        <w:ind w:hanging="361"/>
      </w:pPr>
      <w:r>
        <w:t>Kalibrasyon/Işınlama Hizmeti Süreleri</w:t>
      </w:r>
    </w:p>
    <w:p w:rsidR="00F42346" w:rsidRDefault="00F42346">
      <w:pPr>
        <w:pStyle w:val="GvdeMetni"/>
        <w:spacing w:before="7"/>
        <w:rPr>
          <w:b/>
          <w:sz w:val="23"/>
        </w:rPr>
      </w:pPr>
    </w:p>
    <w:p w:rsidR="00F42346" w:rsidRDefault="00FD68CE">
      <w:pPr>
        <w:pStyle w:val="GvdeMetni"/>
        <w:ind w:left="107" w:right="103"/>
        <w:jc w:val="both"/>
      </w:pPr>
      <w:r>
        <w:t>Kalibrasyonu/ışınlaması talep edilen cihaz</w:t>
      </w:r>
      <w:r w:rsidR="008E0A1D">
        <w:t>/</w:t>
      </w:r>
      <w:proofErr w:type="spellStart"/>
      <w:r w:rsidR="008E0A1D">
        <w:t>dozimetre</w:t>
      </w:r>
      <w:proofErr w:type="spellEnd"/>
      <w:r w:rsidR="008E0A1D">
        <w:t xml:space="preserve"> için hizmet süresi 21</w:t>
      </w:r>
      <w:r>
        <w:t xml:space="preserve"> gün olarak verilmektedir. Hizmet süresi, cihazların/</w:t>
      </w:r>
      <w:proofErr w:type="spellStart"/>
      <w:r>
        <w:t>dozimetrelerin</w:t>
      </w:r>
      <w:proofErr w:type="spellEnd"/>
      <w:r>
        <w:t xml:space="preserve"> </w:t>
      </w:r>
      <w:proofErr w:type="spellStart"/>
      <w:r>
        <w:t>NÜKEN’e</w:t>
      </w:r>
      <w:proofErr w:type="spellEnd"/>
      <w:r>
        <w:t xml:space="preserve"> teslim edildiği tarih ile başlar. Kalibrasyon için gönderilen cihazların kablo vb. aksesuarlarının eksik gönderilmesi durumunda, hizmetin başlama tarihi müşteri tarafından eksik hususların tamamlandığı tarihtir. İkincil Standart </w:t>
      </w:r>
      <w:proofErr w:type="spellStart"/>
      <w:r>
        <w:t>Dozimetri</w:t>
      </w:r>
      <w:proofErr w:type="spellEnd"/>
      <w:r>
        <w:t xml:space="preserve"> Laboratuvarının iş yoğunl</w:t>
      </w:r>
      <w:r w:rsidR="00AF642A">
        <w:t>uğu, kalibrasyon/ışınlama için bir partide gönderilen cihaz/</w:t>
      </w:r>
      <w:proofErr w:type="spellStart"/>
      <w:r w:rsidR="00AF642A">
        <w:t>dozimetre</w:t>
      </w:r>
      <w:proofErr w:type="spellEnd"/>
      <w:r>
        <w:t xml:space="preserve"> </w:t>
      </w:r>
      <w:proofErr w:type="gramStart"/>
      <w:r>
        <w:t>sayısı  başka</w:t>
      </w:r>
      <w:proofErr w:type="gramEnd"/>
      <w:r>
        <w:t xml:space="preserve">  bir  aksaklık  nedeniyle</w:t>
      </w:r>
      <w:r>
        <w:rPr>
          <w:spacing w:val="40"/>
        </w:rPr>
        <w:t xml:space="preserve"> </w:t>
      </w:r>
      <w:r>
        <w:t>hizmet</w:t>
      </w:r>
      <w:r>
        <w:rPr>
          <w:spacing w:val="-17"/>
        </w:rPr>
        <w:t xml:space="preserve"> </w:t>
      </w:r>
      <w:r>
        <w:t>süresinin</w:t>
      </w:r>
      <w:r>
        <w:rPr>
          <w:spacing w:val="-16"/>
        </w:rPr>
        <w:t xml:space="preserve"> </w:t>
      </w:r>
      <w:r>
        <w:t>aşıldığı</w:t>
      </w:r>
      <w:r>
        <w:rPr>
          <w:spacing w:val="-16"/>
        </w:rPr>
        <w:t xml:space="preserve"> </w:t>
      </w:r>
      <w:r>
        <w:t>durumlarda,</w:t>
      </w:r>
      <w:r>
        <w:rPr>
          <w:spacing w:val="-15"/>
        </w:rPr>
        <w:t xml:space="preserve"> </w:t>
      </w:r>
      <w:r>
        <w:t>hizmetin</w:t>
      </w:r>
      <w:r>
        <w:rPr>
          <w:spacing w:val="-16"/>
        </w:rPr>
        <w:t xml:space="preserve"> </w:t>
      </w:r>
      <w:r>
        <w:t>tamamlanma</w:t>
      </w:r>
      <w:r>
        <w:rPr>
          <w:spacing w:val="-17"/>
        </w:rPr>
        <w:t xml:space="preserve"> </w:t>
      </w:r>
      <w:r>
        <w:t>tarihi</w:t>
      </w:r>
      <w:r>
        <w:rPr>
          <w:spacing w:val="-16"/>
        </w:rPr>
        <w:t xml:space="preserve"> </w:t>
      </w:r>
      <w:r>
        <w:t>Müşteri</w:t>
      </w:r>
      <w:r>
        <w:rPr>
          <w:spacing w:val="-17"/>
        </w:rPr>
        <w:t xml:space="preserve"> </w:t>
      </w:r>
      <w:r>
        <w:t>ile</w:t>
      </w:r>
      <w:r>
        <w:rPr>
          <w:spacing w:val="-15"/>
        </w:rPr>
        <w:t xml:space="preserve"> </w:t>
      </w:r>
      <w:r>
        <w:t>görüşmeler</w:t>
      </w:r>
      <w:r>
        <w:rPr>
          <w:spacing w:val="-16"/>
        </w:rPr>
        <w:t xml:space="preserve"> </w:t>
      </w:r>
      <w:r>
        <w:t>neticesinde belirlenir. Bu anlaşmaya ilişkin bilgi</w:t>
      </w:r>
      <w:r w:rsidR="008E0A1D">
        <w:t>ler kayıt altına alınır</w:t>
      </w:r>
      <w:r>
        <w:t>.</w:t>
      </w:r>
    </w:p>
    <w:p w:rsidR="00F42346" w:rsidRDefault="00F42346">
      <w:pPr>
        <w:pStyle w:val="GvdeMetni"/>
        <w:spacing w:before="4"/>
        <w:rPr>
          <w:sz w:val="21"/>
        </w:rPr>
      </w:pPr>
    </w:p>
    <w:p w:rsidR="00F42346" w:rsidRDefault="00FD68CE">
      <w:pPr>
        <w:pStyle w:val="Balk1"/>
        <w:numPr>
          <w:ilvl w:val="1"/>
          <w:numId w:val="2"/>
        </w:numPr>
        <w:tabs>
          <w:tab w:val="left" w:pos="528"/>
        </w:tabs>
        <w:ind w:left="528" w:hanging="421"/>
      </w:pPr>
      <w:r>
        <w:t>Kalibrasyonun/Işınlamanın Yapılması ve Sertifikanın</w:t>
      </w:r>
      <w:r>
        <w:rPr>
          <w:spacing w:val="3"/>
        </w:rPr>
        <w:t xml:space="preserve"> </w:t>
      </w:r>
      <w:r>
        <w:t>Hazırlanması</w:t>
      </w:r>
    </w:p>
    <w:p w:rsidR="00F42346" w:rsidRDefault="00F42346">
      <w:pPr>
        <w:pStyle w:val="GvdeMetni"/>
        <w:rPr>
          <w:b/>
        </w:rPr>
      </w:pPr>
    </w:p>
    <w:p w:rsidR="00F42346" w:rsidRPr="00CE2CE3" w:rsidRDefault="00FD68CE" w:rsidP="00CE2CE3">
      <w:pPr>
        <w:pStyle w:val="GvdeMetni"/>
        <w:ind w:left="107" w:right="103"/>
        <w:jc w:val="both"/>
      </w:pPr>
      <w:r>
        <w:t xml:space="preserve">Kalibrasyon/ışınlama, ilgili standart, talimat, şartname ve </w:t>
      </w:r>
      <w:proofErr w:type="gramStart"/>
      <w:r>
        <w:t>prosedürlere</w:t>
      </w:r>
      <w:proofErr w:type="gramEnd"/>
      <w:r>
        <w:t xml:space="preserve"> uygun olarak yapılarak Kalibrasyon Sertifikası veya Işınlama Sertifikası düzenlenir. Kalibrasyonu yapılan her cihaz için ayrı Sertifika düzenlenir. Işınlama hizmeti için </w:t>
      </w:r>
      <w:proofErr w:type="spellStart"/>
      <w:r>
        <w:t>dozimetre</w:t>
      </w:r>
      <w:proofErr w:type="spellEnd"/>
      <w:r>
        <w:t xml:space="preserve"> sayısına bakılmaksızın tek bir Işınlama Sertifikası düzenlenir. Radyasyondan korunma amacıyla kull</w:t>
      </w:r>
      <w:r w:rsidR="008E0A1D">
        <w:t>anılan doz hızı ölçer cihazlar</w:t>
      </w:r>
      <w:r>
        <w:t xml:space="preserve"> ile elektronik personel </w:t>
      </w:r>
      <w:proofErr w:type="spellStart"/>
      <w:r>
        <w:t>dozimetrelerde</w:t>
      </w:r>
      <w:proofErr w:type="spellEnd"/>
      <w:r>
        <w:t xml:space="preserve">, cihazın kullanılabilir olması için kabul edilebilir sınırlar sırasıyla “±%15 sapma” ve “±%20 sapma” olarak verilmekte olup, </w:t>
      </w:r>
      <w:proofErr w:type="gramStart"/>
      <w:r>
        <w:t>kalibrasyon</w:t>
      </w:r>
      <w:proofErr w:type="gramEnd"/>
      <w:r>
        <w:t xml:space="preserve"> sonucunda sapma değerinin bu sınırların dışına çıkması durumunda Kalibrasyon Sertifikası düzenlenmez. Kalibrasyon/Işınlama hizmeti kapsamında düzenlenen sertifikalarda bunun dışında herhangi bir uygunluk beyanı verilmemektedir. Sonuç değerleri belirtilen sınırların dışında kalan cihazlar için Kalibrasyon Sertifikası yerine ölçüm sonuçlarını ve sapma değerlerini içeren Cihaz İadesi Bildirim Formu düzenlenir.</w:t>
      </w:r>
    </w:p>
    <w:p w:rsidR="00F42346" w:rsidRDefault="00FD68CE">
      <w:pPr>
        <w:pStyle w:val="GvdeMetni"/>
        <w:spacing w:before="90"/>
        <w:ind w:left="107" w:right="102"/>
        <w:jc w:val="both"/>
      </w:pPr>
      <w:r>
        <w:lastRenderedPageBreak/>
        <w:t>Müşteri</w:t>
      </w:r>
      <w:r>
        <w:rPr>
          <w:spacing w:val="-11"/>
        </w:rPr>
        <w:t xml:space="preserve"> </w:t>
      </w:r>
      <w:r>
        <w:t>tarafından</w:t>
      </w:r>
      <w:r>
        <w:rPr>
          <w:spacing w:val="-10"/>
        </w:rPr>
        <w:t xml:space="preserve"> </w:t>
      </w:r>
      <w:r>
        <w:t>talep</w:t>
      </w:r>
      <w:r>
        <w:rPr>
          <w:spacing w:val="-7"/>
        </w:rPr>
        <w:t xml:space="preserve"> </w:t>
      </w:r>
      <w:r>
        <w:t>olması</w:t>
      </w:r>
      <w:r>
        <w:rPr>
          <w:spacing w:val="-9"/>
        </w:rPr>
        <w:t xml:space="preserve"> </w:t>
      </w:r>
      <w:r>
        <w:t>durumunda</w:t>
      </w:r>
      <w:r>
        <w:rPr>
          <w:spacing w:val="-11"/>
        </w:rPr>
        <w:t xml:space="preserve"> </w:t>
      </w:r>
      <w:r>
        <w:t>önceden</w:t>
      </w:r>
      <w:r>
        <w:rPr>
          <w:spacing w:val="-10"/>
        </w:rPr>
        <w:t xml:space="preserve"> </w:t>
      </w:r>
      <w:r>
        <w:t>izin</w:t>
      </w:r>
      <w:r>
        <w:rPr>
          <w:spacing w:val="-12"/>
        </w:rPr>
        <w:t xml:space="preserve"> </w:t>
      </w:r>
      <w:r>
        <w:t>talep</w:t>
      </w:r>
      <w:r>
        <w:rPr>
          <w:spacing w:val="-10"/>
        </w:rPr>
        <w:t xml:space="preserve"> </w:t>
      </w:r>
      <w:r>
        <w:t>edilmesi</w:t>
      </w:r>
      <w:r>
        <w:rPr>
          <w:spacing w:val="-9"/>
        </w:rPr>
        <w:t xml:space="preserve"> </w:t>
      </w:r>
      <w:r>
        <w:t>ve</w:t>
      </w:r>
      <w:r>
        <w:rPr>
          <w:spacing w:val="-13"/>
        </w:rPr>
        <w:t xml:space="preserve"> </w:t>
      </w:r>
      <w:r>
        <w:t>NÜKEN</w:t>
      </w:r>
      <w:r>
        <w:rPr>
          <w:spacing w:val="-10"/>
        </w:rPr>
        <w:t xml:space="preserve"> </w:t>
      </w:r>
      <w:r>
        <w:t>tarafından</w:t>
      </w:r>
      <w:r>
        <w:rPr>
          <w:spacing w:val="-10"/>
        </w:rPr>
        <w:t xml:space="preserve"> </w:t>
      </w:r>
      <w:r>
        <w:t>uygun</w:t>
      </w:r>
      <w:r>
        <w:rPr>
          <w:spacing w:val="-10"/>
        </w:rPr>
        <w:t xml:space="preserve"> </w:t>
      </w:r>
      <w:r>
        <w:t>görülmesi şartıyla, müşteriye kendi cihazlarının/</w:t>
      </w:r>
      <w:proofErr w:type="spellStart"/>
      <w:r>
        <w:t>dozimetrelerinin</w:t>
      </w:r>
      <w:proofErr w:type="spellEnd"/>
      <w:r>
        <w:t xml:space="preserve"> kalibrasyonunu/ışınlanmasını laboratuvarda izleme </w:t>
      </w:r>
      <w:proofErr w:type="gramStart"/>
      <w:r>
        <w:t>imkanı</w:t>
      </w:r>
      <w:proofErr w:type="gramEnd"/>
      <w:r>
        <w:t xml:space="preserve"> sağlanır. Kalibrasyon sonuçları ile ilgili fiziksel kayıtlar, yasal bir zorunlulukla belirlenmediği sürece müşteri gizliliği dikkate alınarak 10 yıl süre ile saklanır. Elektronik kayıtlar süresiz olarak</w:t>
      </w:r>
      <w:r>
        <w:rPr>
          <w:spacing w:val="-8"/>
        </w:rPr>
        <w:t xml:space="preserve"> </w:t>
      </w:r>
      <w:r>
        <w:t>saklanır.</w:t>
      </w:r>
    </w:p>
    <w:p w:rsidR="00F42346" w:rsidRDefault="00F42346">
      <w:pPr>
        <w:pStyle w:val="GvdeMetni"/>
        <w:spacing w:before="10"/>
      </w:pPr>
    </w:p>
    <w:p w:rsidR="00F42346" w:rsidRPr="003977BF" w:rsidRDefault="00FD68CE" w:rsidP="003977BF">
      <w:pPr>
        <w:pStyle w:val="Balk1"/>
        <w:numPr>
          <w:ilvl w:val="1"/>
          <w:numId w:val="2"/>
        </w:numPr>
        <w:tabs>
          <w:tab w:val="left" w:pos="468"/>
        </w:tabs>
        <w:ind w:hanging="361"/>
        <w:jc w:val="both"/>
      </w:pPr>
      <w:r>
        <w:t>Kalibrasyon/Işınlama Sonrası Cihazların/</w:t>
      </w:r>
      <w:proofErr w:type="spellStart"/>
      <w:r>
        <w:t>Dozimetrelerin</w:t>
      </w:r>
      <w:proofErr w:type="spellEnd"/>
      <w:r>
        <w:t xml:space="preserve"> Müşteriye</w:t>
      </w:r>
      <w:r>
        <w:rPr>
          <w:spacing w:val="-8"/>
        </w:rPr>
        <w:t xml:space="preserve"> </w:t>
      </w:r>
      <w:r>
        <w:t>Ulaştırılması</w:t>
      </w:r>
    </w:p>
    <w:p w:rsidR="003977BF" w:rsidRDefault="003977BF">
      <w:pPr>
        <w:pStyle w:val="GvdeMetni"/>
        <w:ind w:left="107" w:right="103"/>
        <w:jc w:val="both"/>
      </w:pPr>
    </w:p>
    <w:p w:rsidR="00F42346" w:rsidRDefault="00FD68CE" w:rsidP="00814943">
      <w:pPr>
        <w:pStyle w:val="GvdeMetni"/>
        <w:ind w:left="107" w:right="103"/>
        <w:jc w:val="both"/>
      </w:pPr>
      <w:r>
        <w:t>Kalibrasyonu/ışınlaması tamamlanan cihazlar/</w:t>
      </w:r>
      <w:proofErr w:type="spellStart"/>
      <w:r>
        <w:t>dozimetreler</w:t>
      </w:r>
      <w:proofErr w:type="spellEnd"/>
      <w:r>
        <w:t xml:space="preserve">, sertifikalar ve resmi üst yazı ile birlikte nakliye sırasında hasar görmeyecek şekilde ambalajlanır ve </w:t>
      </w:r>
      <w:proofErr w:type="spellStart"/>
      <w:r>
        <w:t>NÜKEN’in</w:t>
      </w:r>
      <w:proofErr w:type="spellEnd"/>
      <w:r>
        <w:t xml:space="preserve"> anlaşmalı olduğu kargo firması aracılığıyla müşteri tarafından Başvuru Formunda bildirilen adrese gönderilir. Nakliye sırasında oluşacak hasarlardan</w:t>
      </w:r>
      <w:r>
        <w:rPr>
          <w:spacing w:val="-41"/>
        </w:rPr>
        <w:t xml:space="preserve"> </w:t>
      </w:r>
      <w:r>
        <w:t>veya kayıplardan</w:t>
      </w:r>
      <w:r>
        <w:rPr>
          <w:spacing w:val="-14"/>
        </w:rPr>
        <w:t xml:space="preserve"> </w:t>
      </w:r>
      <w:r>
        <w:t>NÜKEN</w:t>
      </w:r>
      <w:r>
        <w:rPr>
          <w:spacing w:val="-16"/>
        </w:rPr>
        <w:t xml:space="preserve"> </w:t>
      </w:r>
      <w:r>
        <w:t>sorumlu</w:t>
      </w:r>
      <w:r>
        <w:rPr>
          <w:spacing w:val="-15"/>
        </w:rPr>
        <w:t xml:space="preserve"> </w:t>
      </w:r>
      <w:r>
        <w:t>değildir.</w:t>
      </w:r>
      <w:r>
        <w:rPr>
          <w:spacing w:val="-14"/>
        </w:rPr>
        <w:t xml:space="preserve"> </w:t>
      </w:r>
      <w:r>
        <w:t>Cihazların/</w:t>
      </w:r>
      <w:proofErr w:type="spellStart"/>
      <w:r>
        <w:t>dozimetrelerin</w:t>
      </w:r>
      <w:proofErr w:type="spellEnd"/>
      <w:r>
        <w:rPr>
          <w:spacing w:val="-15"/>
        </w:rPr>
        <w:t xml:space="preserve"> </w:t>
      </w:r>
      <w:r>
        <w:t>elden</w:t>
      </w:r>
      <w:r>
        <w:rPr>
          <w:spacing w:val="-15"/>
        </w:rPr>
        <w:t xml:space="preserve"> </w:t>
      </w:r>
      <w:r>
        <w:t>teslim</w:t>
      </w:r>
      <w:r>
        <w:rPr>
          <w:spacing w:val="-14"/>
        </w:rPr>
        <w:t xml:space="preserve"> </w:t>
      </w:r>
      <w:r>
        <w:t>alınması</w:t>
      </w:r>
      <w:r>
        <w:rPr>
          <w:spacing w:val="-14"/>
        </w:rPr>
        <w:t xml:space="preserve"> </w:t>
      </w:r>
      <w:r>
        <w:t>talep</w:t>
      </w:r>
      <w:r>
        <w:rPr>
          <w:spacing w:val="-15"/>
        </w:rPr>
        <w:t xml:space="preserve"> </w:t>
      </w:r>
      <w:r>
        <w:t>ediliyorsa,</w:t>
      </w:r>
      <w:r>
        <w:rPr>
          <w:spacing w:val="-15"/>
        </w:rPr>
        <w:t xml:space="preserve"> </w:t>
      </w:r>
      <w:r>
        <w:t>gönderi sırasında</w:t>
      </w:r>
      <w:r>
        <w:rPr>
          <w:spacing w:val="-15"/>
        </w:rPr>
        <w:t xml:space="preserve"> </w:t>
      </w:r>
      <w:r>
        <w:t>bu</w:t>
      </w:r>
      <w:r>
        <w:rPr>
          <w:spacing w:val="-13"/>
        </w:rPr>
        <w:t xml:space="preserve"> </w:t>
      </w:r>
      <w:r>
        <w:t>durum</w:t>
      </w:r>
      <w:r>
        <w:rPr>
          <w:spacing w:val="-14"/>
        </w:rPr>
        <w:t xml:space="preserve"> </w:t>
      </w:r>
      <w:r>
        <w:t>belirtilmelidir.</w:t>
      </w:r>
      <w:r>
        <w:rPr>
          <w:spacing w:val="-14"/>
        </w:rPr>
        <w:t xml:space="preserve"> </w:t>
      </w:r>
      <w:r>
        <w:t>Bu</w:t>
      </w:r>
      <w:r>
        <w:rPr>
          <w:spacing w:val="-14"/>
        </w:rPr>
        <w:t xml:space="preserve"> </w:t>
      </w:r>
      <w:r>
        <w:t>durumda,</w:t>
      </w:r>
      <w:r>
        <w:rPr>
          <w:spacing w:val="-13"/>
        </w:rPr>
        <w:t xml:space="preserve"> </w:t>
      </w:r>
      <w:r>
        <w:t>hizmetin</w:t>
      </w:r>
      <w:r>
        <w:rPr>
          <w:spacing w:val="-13"/>
        </w:rPr>
        <w:t xml:space="preserve"> </w:t>
      </w:r>
      <w:r>
        <w:t>tamamlandığına</w:t>
      </w:r>
      <w:r>
        <w:rPr>
          <w:spacing w:val="-15"/>
        </w:rPr>
        <w:t xml:space="preserve"> </w:t>
      </w:r>
      <w:r>
        <w:t>dair</w:t>
      </w:r>
      <w:r>
        <w:rPr>
          <w:spacing w:val="-14"/>
        </w:rPr>
        <w:t xml:space="preserve"> </w:t>
      </w:r>
      <w:r>
        <w:t>müşteri</w:t>
      </w:r>
      <w:r>
        <w:rPr>
          <w:spacing w:val="-14"/>
        </w:rPr>
        <w:t xml:space="preserve"> </w:t>
      </w:r>
      <w:r>
        <w:t>bilgilendirilir</w:t>
      </w:r>
      <w:r>
        <w:rPr>
          <w:spacing w:val="-14"/>
        </w:rPr>
        <w:t xml:space="preserve"> </w:t>
      </w:r>
      <w:r>
        <w:t>ve</w:t>
      </w:r>
      <w:r>
        <w:rPr>
          <w:spacing w:val="-15"/>
        </w:rPr>
        <w:t xml:space="preserve"> </w:t>
      </w:r>
      <w:r>
        <w:t xml:space="preserve">ambalaj müşteri tarafından teslim alınır. </w:t>
      </w:r>
      <w:r w:rsidR="0038636F">
        <w:t>Birim</w:t>
      </w:r>
      <w:r w:rsidR="003749B3">
        <w:t xml:space="preserve"> </w:t>
      </w:r>
      <w:r w:rsidRPr="003749B3">
        <w:t xml:space="preserve">Görevlisi tarafından </w:t>
      </w:r>
      <w:r w:rsidR="0038636F">
        <w:t>Cihaz Teslim</w:t>
      </w:r>
      <w:r w:rsidRPr="003749B3">
        <w:t xml:space="preserve"> Formu düzenlenir</w:t>
      </w:r>
      <w:r w:rsidR="0038636F">
        <w:t xml:space="preserve"> ve müşteriye imzalatılır</w:t>
      </w:r>
      <w:r w:rsidRPr="003749B3">
        <w:t xml:space="preserve">. </w:t>
      </w:r>
    </w:p>
    <w:p w:rsidR="00814943" w:rsidRDefault="00814943" w:rsidP="00814943">
      <w:pPr>
        <w:pStyle w:val="GvdeMetni"/>
        <w:ind w:left="107" w:right="103"/>
        <w:jc w:val="both"/>
      </w:pPr>
    </w:p>
    <w:p w:rsidR="00F42346" w:rsidRPr="003977BF" w:rsidRDefault="00814943" w:rsidP="00814943">
      <w:pPr>
        <w:pStyle w:val="Balk1"/>
        <w:tabs>
          <w:tab w:val="left" w:pos="348"/>
        </w:tabs>
      </w:pPr>
      <w:r w:rsidRPr="00814943">
        <w:t>3</w:t>
      </w:r>
      <w:r w:rsidR="00000794" w:rsidRPr="00814943">
        <w:t>.</w:t>
      </w:r>
      <w:r w:rsidR="00FD68CE">
        <w:t>DİĞER</w:t>
      </w:r>
      <w:r w:rsidR="00FD68CE">
        <w:rPr>
          <w:spacing w:val="-2"/>
        </w:rPr>
        <w:t xml:space="preserve"> </w:t>
      </w:r>
      <w:r w:rsidR="00FD68CE">
        <w:t>HUSUSLAR</w:t>
      </w:r>
    </w:p>
    <w:p w:rsidR="003977BF" w:rsidRDefault="003977BF" w:rsidP="00000794">
      <w:pPr>
        <w:pStyle w:val="ListeParagraf"/>
        <w:tabs>
          <w:tab w:val="left" w:pos="495"/>
        </w:tabs>
        <w:ind w:right="101"/>
        <w:jc w:val="both"/>
        <w:rPr>
          <w:b/>
          <w:sz w:val="24"/>
        </w:rPr>
      </w:pPr>
    </w:p>
    <w:p w:rsidR="00F42346" w:rsidRDefault="00814943" w:rsidP="00000794">
      <w:pPr>
        <w:pStyle w:val="ListeParagraf"/>
        <w:tabs>
          <w:tab w:val="left" w:pos="495"/>
        </w:tabs>
        <w:ind w:right="101"/>
        <w:jc w:val="both"/>
        <w:rPr>
          <w:sz w:val="24"/>
        </w:rPr>
      </w:pPr>
      <w:r>
        <w:rPr>
          <w:b/>
          <w:sz w:val="24"/>
        </w:rPr>
        <w:t>3</w:t>
      </w:r>
      <w:r w:rsidR="00000794" w:rsidRPr="00000794">
        <w:rPr>
          <w:b/>
          <w:sz w:val="24"/>
        </w:rPr>
        <w:t>.1</w:t>
      </w:r>
      <w:r w:rsidR="00000794">
        <w:rPr>
          <w:b/>
          <w:sz w:val="24"/>
        </w:rPr>
        <w:t xml:space="preserve"> </w:t>
      </w:r>
      <w:r w:rsidR="00FD68CE">
        <w:rPr>
          <w:sz w:val="24"/>
        </w:rPr>
        <w:t xml:space="preserve">Müşteri tarafından gönderilen cihazların arızalı olması, teknolojisinin </w:t>
      </w:r>
      <w:proofErr w:type="gramStart"/>
      <w:r w:rsidR="00FD68CE">
        <w:rPr>
          <w:sz w:val="24"/>
        </w:rPr>
        <w:t>kalibrasyon</w:t>
      </w:r>
      <w:proofErr w:type="gramEnd"/>
      <w:r w:rsidR="00FD68CE">
        <w:rPr>
          <w:sz w:val="24"/>
        </w:rPr>
        <w:t xml:space="preserve"> için uygun olmaması, kablo vb. aksesuarlarının temin edilememesi gibi durumlarda cihazlar Cihaz İade Formu ile birlikte iade edilir. Bu tür nedenlerle </w:t>
      </w:r>
      <w:proofErr w:type="gramStart"/>
      <w:r w:rsidR="00FD68CE">
        <w:rPr>
          <w:sz w:val="24"/>
        </w:rPr>
        <w:t>kalibrasyon</w:t>
      </w:r>
      <w:proofErr w:type="gramEnd"/>
      <w:r w:rsidR="00FD68CE">
        <w:rPr>
          <w:sz w:val="24"/>
        </w:rPr>
        <w:t xml:space="preserve"> işlemine alınamayan cihazlar için yatırılan ücret müşterinin talebi doğrultusunda müşteriye iade edilir. Bunun haricindeki durumlar için ücret iadesi</w:t>
      </w:r>
      <w:r w:rsidR="00FD68CE">
        <w:rPr>
          <w:spacing w:val="-2"/>
          <w:sz w:val="24"/>
        </w:rPr>
        <w:t xml:space="preserve"> </w:t>
      </w:r>
      <w:r w:rsidR="00FD68CE">
        <w:rPr>
          <w:sz w:val="24"/>
        </w:rPr>
        <w:t>yapılmaz.</w:t>
      </w:r>
    </w:p>
    <w:p w:rsidR="00F42346" w:rsidRDefault="00F42346">
      <w:pPr>
        <w:pStyle w:val="GvdeMetni"/>
        <w:spacing w:before="5"/>
      </w:pPr>
    </w:p>
    <w:p w:rsidR="00F42346" w:rsidRDefault="00814943" w:rsidP="00000794">
      <w:pPr>
        <w:pStyle w:val="ListeParagraf"/>
        <w:tabs>
          <w:tab w:val="left" w:pos="507"/>
        </w:tabs>
        <w:ind w:right="101"/>
        <w:jc w:val="both"/>
        <w:rPr>
          <w:sz w:val="24"/>
        </w:rPr>
      </w:pPr>
      <w:r>
        <w:rPr>
          <w:b/>
          <w:sz w:val="24"/>
        </w:rPr>
        <w:t>3</w:t>
      </w:r>
      <w:r w:rsidR="00000794" w:rsidRPr="00000794">
        <w:rPr>
          <w:b/>
          <w:sz w:val="24"/>
        </w:rPr>
        <w:t>.2</w:t>
      </w:r>
      <w:r w:rsidR="00FD68CE">
        <w:rPr>
          <w:sz w:val="24"/>
        </w:rPr>
        <w:t>Yasal olarak gereken haller dışında müşteri ile ilgili tüm bilgiler gizli tutulur. Ancak yasal otorite; müşterinin haberi olmadan müşteriye dair bilgilere ulaşmak isterse, bilgilerin paylaşıldığı ile ilgili hususta müşteriye bilgi verilmez. NÜKEN, kamuya açık hâle getirmek istediği bilgi hakkında müşteriyi önceden bilgilendirir. Bilginin müşteri tarafından kamuya açık hâle getirildiği veya NÜKEN ile müşteri arasında anlaşma</w:t>
      </w:r>
      <w:r w:rsidR="00FD68CE">
        <w:rPr>
          <w:spacing w:val="-2"/>
          <w:sz w:val="24"/>
        </w:rPr>
        <w:t xml:space="preserve"> </w:t>
      </w:r>
      <w:r w:rsidR="00FD68CE">
        <w:rPr>
          <w:sz w:val="24"/>
        </w:rPr>
        <w:t>olduğu durumlar</w:t>
      </w:r>
      <w:r w:rsidR="00FD68CE">
        <w:rPr>
          <w:spacing w:val="-9"/>
          <w:sz w:val="24"/>
        </w:rPr>
        <w:t xml:space="preserve"> </w:t>
      </w:r>
      <w:r w:rsidR="00FD68CE">
        <w:rPr>
          <w:sz w:val="24"/>
        </w:rPr>
        <w:t>hâriç</w:t>
      </w:r>
      <w:r w:rsidR="00FD68CE">
        <w:rPr>
          <w:spacing w:val="-6"/>
          <w:sz w:val="24"/>
        </w:rPr>
        <w:t xml:space="preserve"> </w:t>
      </w:r>
      <w:r w:rsidR="00FD68CE">
        <w:rPr>
          <w:sz w:val="24"/>
        </w:rPr>
        <w:t>diğer</w:t>
      </w:r>
      <w:r w:rsidR="00FD68CE">
        <w:rPr>
          <w:spacing w:val="-3"/>
          <w:sz w:val="24"/>
        </w:rPr>
        <w:t xml:space="preserve"> </w:t>
      </w:r>
      <w:r w:rsidR="00FD68CE">
        <w:rPr>
          <w:sz w:val="24"/>
        </w:rPr>
        <w:t>tüm</w:t>
      </w:r>
      <w:r w:rsidR="00FD68CE">
        <w:rPr>
          <w:spacing w:val="-8"/>
          <w:sz w:val="24"/>
        </w:rPr>
        <w:t xml:space="preserve"> </w:t>
      </w:r>
      <w:r w:rsidR="00FD68CE">
        <w:rPr>
          <w:sz w:val="24"/>
        </w:rPr>
        <w:t>bilgilerin</w:t>
      </w:r>
      <w:r w:rsidR="00FD68CE">
        <w:rPr>
          <w:spacing w:val="-12"/>
          <w:sz w:val="24"/>
        </w:rPr>
        <w:t xml:space="preserve"> </w:t>
      </w:r>
      <w:r w:rsidR="00FD68CE">
        <w:rPr>
          <w:sz w:val="24"/>
        </w:rPr>
        <w:t>özel</w:t>
      </w:r>
      <w:r w:rsidR="00FD68CE">
        <w:rPr>
          <w:spacing w:val="-4"/>
          <w:sz w:val="24"/>
        </w:rPr>
        <w:t xml:space="preserve"> </w:t>
      </w:r>
      <w:r w:rsidR="00FD68CE">
        <w:rPr>
          <w:sz w:val="24"/>
        </w:rPr>
        <w:t>bilgi</w:t>
      </w:r>
      <w:r w:rsidR="00FD68CE">
        <w:rPr>
          <w:spacing w:val="-7"/>
          <w:sz w:val="24"/>
        </w:rPr>
        <w:t xml:space="preserve"> </w:t>
      </w:r>
      <w:r w:rsidR="00FD68CE">
        <w:rPr>
          <w:sz w:val="24"/>
        </w:rPr>
        <w:t>olduğu</w:t>
      </w:r>
      <w:r w:rsidR="00FD68CE">
        <w:rPr>
          <w:spacing w:val="-11"/>
          <w:sz w:val="24"/>
        </w:rPr>
        <w:t xml:space="preserve"> </w:t>
      </w:r>
      <w:r w:rsidR="00FD68CE">
        <w:rPr>
          <w:sz w:val="24"/>
        </w:rPr>
        <w:t>değerlendirilir</w:t>
      </w:r>
      <w:r w:rsidR="00FD68CE">
        <w:rPr>
          <w:spacing w:val="-16"/>
          <w:sz w:val="24"/>
        </w:rPr>
        <w:t xml:space="preserve"> </w:t>
      </w:r>
      <w:r w:rsidR="00FD68CE">
        <w:rPr>
          <w:sz w:val="24"/>
        </w:rPr>
        <w:t>ve</w:t>
      </w:r>
      <w:r w:rsidR="00FD68CE">
        <w:rPr>
          <w:spacing w:val="-6"/>
          <w:sz w:val="24"/>
        </w:rPr>
        <w:t xml:space="preserve"> </w:t>
      </w:r>
      <w:r w:rsidR="00FD68CE">
        <w:rPr>
          <w:sz w:val="24"/>
        </w:rPr>
        <w:t>bu</w:t>
      </w:r>
      <w:r w:rsidR="00FD68CE">
        <w:rPr>
          <w:spacing w:val="-9"/>
          <w:sz w:val="24"/>
        </w:rPr>
        <w:t xml:space="preserve"> </w:t>
      </w:r>
      <w:r w:rsidR="00FD68CE">
        <w:rPr>
          <w:sz w:val="24"/>
        </w:rPr>
        <w:t>bilgiler</w:t>
      </w:r>
      <w:r w:rsidR="00FD68CE">
        <w:rPr>
          <w:spacing w:val="-12"/>
          <w:sz w:val="24"/>
        </w:rPr>
        <w:t xml:space="preserve"> </w:t>
      </w:r>
      <w:r w:rsidR="00FD68CE">
        <w:rPr>
          <w:sz w:val="24"/>
        </w:rPr>
        <w:t>mahrem</w:t>
      </w:r>
      <w:r w:rsidR="00FD68CE">
        <w:rPr>
          <w:spacing w:val="-14"/>
          <w:sz w:val="24"/>
        </w:rPr>
        <w:t xml:space="preserve"> </w:t>
      </w:r>
      <w:r w:rsidR="00FD68CE">
        <w:rPr>
          <w:sz w:val="24"/>
        </w:rPr>
        <w:t>bilgi kabul edilir. Müşteri dışındaki kaynaklardan elde edilen müşteri hakkındaki bilgiler, müşteriyle NÜKEN arasında gizli kalır. Bu bilgilerin kaynağı NÜKEN tarafından gizli tutulur ve kaynak tarafından onaylanmadığı müddetçe müşteriyle</w:t>
      </w:r>
      <w:r w:rsidR="00FD68CE">
        <w:rPr>
          <w:spacing w:val="3"/>
          <w:sz w:val="24"/>
        </w:rPr>
        <w:t xml:space="preserve"> </w:t>
      </w:r>
      <w:r w:rsidR="00FD68CE">
        <w:rPr>
          <w:sz w:val="24"/>
        </w:rPr>
        <w:t>paylaşılmaz.</w:t>
      </w:r>
    </w:p>
    <w:p w:rsidR="00F42346" w:rsidRDefault="00F42346">
      <w:pPr>
        <w:pStyle w:val="GvdeMetni"/>
        <w:spacing w:before="8"/>
        <w:rPr>
          <w:sz w:val="20"/>
        </w:rPr>
      </w:pPr>
    </w:p>
    <w:p w:rsidR="00F42346" w:rsidRDefault="00814943" w:rsidP="00000794">
      <w:pPr>
        <w:pStyle w:val="ListeParagraf"/>
        <w:tabs>
          <w:tab w:val="left" w:pos="600"/>
        </w:tabs>
        <w:ind w:right="104"/>
        <w:jc w:val="both"/>
        <w:rPr>
          <w:sz w:val="24"/>
        </w:rPr>
      </w:pPr>
      <w:r>
        <w:rPr>
          <w:b/>
          <w:sz w:val="24"/>
        </w:rPr>
        <w:t>3</w:t>
      </w:r>
      <w:r w:rsidR="00000794" w:rsidRPr="00000794">
        <w:rPr>
          <w:b/>
          <w:sz w:val="24"/>
        </w:rPr>
        <w:t>.3</w:t>
      </w:r>
      <w:r w:rsidR="00000794">
        <w:rPr>
          <w:sz w:val="24"/>
        </w:rPr>
        <w:t>.</w:t>
      </w:r>
      <w:r w:rsidR="00FD68CE">
        <w:rPr>
          <w:sz w:val="24"/>
        </w:rPr>
        <w:t xml:space="preserve">Bu Sözleşme, </w:t>
      </w:r>
      <w:proofErr w:type="gramStart"/>
      <w:r w:rsidR="00FD68CE">
        <w:rPr>
          <w:sz w:val="24"/>
        </w:rPr>
        <w:t>kalibrasyon</w:t>
      </w:r>
      <w:proofErr w:type="gramEnd"/>
      <w:r w:rsidR="00FD68CE">
        <w:rPr>
          <w:sz w:val="24"/>
        </w:rPr>
        <w:t>/ışınlama hizmetinin gereklilikleri kapsamında güncellenmektedir</w:t>
      </w:r>
      <w:r w:rsidR="00FD68CE">
        <w:rPr>
          <w:b/>
          <w:sz w:val="24"/>
        </w:rPr>
        <w:t xml:space="preserve">. </w:t>
      </w:r>
      <w:r w:rsidR="00FD68CE">
        <w:rPr>
          <w:sz w:val="24"/>
        </w:rPr>
        <w:t>Bu Sözleşmenin</w:t>
      </w:r>
      <w:r w:rsidR="00FD68CE">
        <w:rPr>
          <w:spacing w:val="-8"/>
          <w:sz w:val="24"/>
        </w:rPr>
        <w:t xml:space="preserve"> </w:t>
      </w:r>
      <w:r w:rsidR="00FD68CE">
        <w:rPr>
          <w:sz w:val="24"/>
        </w:rPr>
        <w:t>güncel</w:t>
      </w:r>
      <w:r w:rsidR="00FD68CE">
        <w:rPr>
          <w:spacing w:val="-7"/>
          <w:sz w:val="24"/>
        </w:rPr>
        <w:t xml:space="preserve"> </w:t>
      </w:r>
      <w:r w:rsidR="00FD68CE">
        <w:rPr>
          <w:sz w:val="24"/>
        </w:rPr>
        <w:t>haline</w:t>
      </w:r>
      <w:r w:rsidR="00FD68CE">
        <w:rPr>
          <w:color w:val="0000FF"/>
          <w:spacing w:val="-7"/>
          <w:sz w:val="24"/>
        </w:rPr>
        <w:t xml:space="preserve"> </w:t>
      </w:r>
      <w:hyperlink r:id="rId9">
        <w:r w:rsidR="00FD68CE">
          <w:rPr>
            <w:color w:val="0000FF"/>
            <w:sz w:val="24"/>
            <w:u w:val="single" w:color="0000FF"/>
          </w:rPr>
          <w:t>www.tenmak.gov.tr</w:t>
        </w:r>
        <w:r w:rsidR="00FD68CE">
          <w:rPr>
            <w:color w:val="0000FF"/>
            <w:spacing w:val="-6"/>
            <w:sz w:val="24"/>
          </w:rPr>
          <w:t xml:space="preserve"> </w:t>
        </w:r>
      </w:hyperlink>
      <w:r w:rsidR="00FD68CE">
        <w:rPr>
          <w:sz w:val="24"/>
        </w:rPr>
        <w:t>internet</w:t>
      </w:r>
      <w:r w:rsidR="00FD68CE">
        <w:rPr>
          <w:spacing w:val="-7"/>
          <w:sz w:val="24"/>
        </w:rPr>
        <w:t xml:space="preserve"> </w:t>
      </w:r>
      <w:r w:rsidR="00FD68CE">
        <w:rPr>
          <w:sz w:val="24"/>
        </w:rPr>
        <w:t>adresinde</w:t>
      </w:r>
      <w:r w:rsidR="00FD68CE">
        <w:rPr>
          <w:spacing w:val="-8"/>
          <w:sz w:val="24"/>
        </w:rPr>
        <w:t xml:space="preserve"> </w:t>
      </w:r>
      <w:r w:rsidR="00FD68CE">
        <w:rPr>
          <w:sz w:val="24"/>
        </w:rPr>
        <w:t>“Hizmetlerimiz”</w:t>
      </w:r>
      <w:r w:rsidR="00FD68CE">
        <w:rPr>
          <w:spacing w:val="-8"/>
          <w:sz w:val="24"/>
        </w:rPr>
        <w:t xml:space="preserve"> </w:t>
      </w:r>
      <w:r w:rsidR="00FD68CE">
        <w:rPr>
          <w:sz w:val="24"/>
        </w:rPr>
        <w:t>sekmesinden</w:t>
      </w:r>
      <w:r w:rsidR="00FD68CE">
        <w:rPr>
          <w:spacing w:val="-7"/>
          <w:sz w:val="24"/>
        </w:rPr>
        <w:t xml:space="preserve"> </w:t>
      </w:r>
      <w:r w:rsidR="00FD68CE">
        <w:rPr>
          <w:sz w:val="24"/>
        </w:rPr>
        <w:t>veya</w:t>
      </w:r>
      <w:r w:rsidR="00FD68CE">
        <w:rPr>
          <w:spacing w:val="-8"/>
          <w:sz w:val="24"/>
        </w:rPr>
        <w:t xml:space="preserve"> </w:t>
      </w:r>
      <w:r w:rsidR="00FD68CE">
        <w:rPr>
          <w:sz w:val="24"/>
        </w:rPr>
        <w:t>e-Devlet kapısı üzerinden ulaşılabilir.</w:t>
      </w:r>
    </w:p>
    <w:p w:rsidR="00F42346" w:rsidRDefault="00F42346">
      <w:pPr>
        <w:pStyle w:val="GvdeMetni"/>
        <w:spacing w:before="10"/>
        <w:rPr>
          <w:sz w:val="20"/>
        </w:rPr>
      </w:pPr>
    </w:p>
    <w:p w:rsidR="00F42346" w:rsidRDefault="00FD68CE" w:rsidP="00000794">
      <w:pPr>
        <w:pStyle w:val="ListeParagraf"/>
        <w:tabs>
          <w:tab w:val="left" w:pos="538"/>
        </w:tabs>
        <w:ind w:right="105"/>
        <w:jc w:val="both"/>
        <w:rPr>
          <w:sz w:val="24"/>
        </w:rPr>
      </w:pPr>
      <w:r>
        <w:rPr>
          <w:sz w:val="24"/>
        </w:rPr>
        <w:t>Güncel akreditasyon kapsamına</w:t>
      </w:r>
      <w:r>
        <w:rPr>
          <w:color w:val="0000FF"/>
          <w:sz w:val="24"/>
        </w:rPr>
        <w:t xml:space="preserve"> </w:t>
      </w:r>
      <w:hyperlink r:id="rId10">
        <w:r>
          <w:rPr>
            <w:color w:val="0000FF"/>
            <w:sz w:val="24"/>
            <w:u w:val="single" w:color="0000FF"/>
          </w:rPr>
          <w:t>www.turkak.org.tr</w:t>
        </w:r>
      </w:hyperlink>
      <w:r>
        <w:rPr>
          <w:color w:val="0000FF"/>
          <w:sz w:val="24"/>
        </w:rPr>
        <w:t xml:space="preserve"> </w:t>
      </w:r>
      <w:r>
        <w:rPr>
          <w:sz w:val="24"/>
        </w:rPr>
        <w:t>ve</w:t>
      </w:r>
      <w:hyperlink r:id="rId11">
        <w:r>
          <w:rPr>
            <w:color w:val="0000FF"/>
            <w:sz w:val="24"/>
          </w:rPr>
          <w:t xml:space="preserve"> </w:t>
        </w:r>
        <w:r>
          <w:rPr>
            <w:color w:val="0000FF"/>
            <w:sz w:val="24"/>
            <w:u w:val="single" w:color="0000FF"/>
          </w:rPr>
          <w:t>www.tenmak.gov.tr/nuken</w:t>
        </w:r>
      </w:hyperlink>
      <w:r>
        <w:rPr>
          <w:color w:val="0000FF"/>
          <w:sz w:val="24"/>
        </w:rPr>
        <w:t xml:space="preserve"> </w:t>
      </w:r>
      <w:r>
        <w:rPr>
          <w:sz w:val="24"/>
        </w:rPr>
        <w:t>internet adresinden ulaşılabilir.</w:t>
      </w:r>
    </w:p>
    <w:p w:rsidR="00F42346" w:rsidRDefault="00F42346">
      <w:pPr>
        <w:pStyle w:val="GvdeMetni"/>
        <w:spacing w:before="4"/>
        <w:rPr>
          <w:sz w:val="21"/>
        </w:rPr>
      </w:pPr>
    </w:p>
    <w:p w:rsidR="00F42346" w:rsidRDefault="00FD68CE" w:rsidP="00814943">
      <w:pPr>
        <w:pStyle w:val="Balk1"/>
        <w:numPr>
          <w:ilvl w:val="0"/>
          <w:numId w:val="3"/>
        </w:numPr>
        <w:tabs>
          <w:tab w:val="left" w:pos="348"/>
        </w:tabs>
      </w:pPr>
      <w:r>
        <w:t>ANLAŞMAZLIKLARIN</w:t>
      </w:r>
      <w:r>
        <w:rPr>
          <w:spacing w:val="-2"/>
        </w:rPr>
        <w:t xml:space="preserve"> </w:t>
      </w:r>
      <w:r>
        <w:t>HALİ</w:t>
      </w:r>
    </w:p>
    <w:p w:rsidR="00F42346" w:rsidRDefault="00F42346">
      <w:pPr>
        <w:pStyle w:val="GvdeMetni"/>
        <w:spacing w:before="5"/>
        <w:rPr>
          <w:b/>
          <w:sz w:val="20"/>
        </w:rPr>
      </w:pPr>
    </w:p>
    <w:p w:rsidR="00F42346" w:rsidRDefault="00FD68CE">
      <w:pPr>
        <w:pStyle w:val="GvdeMetni"/>
        <w:spacing w:before="1"/>
        <w:ind w:left="107" w:right="105"/>
        <w:jc w:val="both"/>
      </w:pPr>
      <w:r>
        <w:t>NÜKEN ile müşteri arasında doğabilecek anlaşmazlıklarda; öncelikle müşteri ile karşılıklı mutabakat aranır. Karşılıklı mutabakat sağlanamaması halinde, bu Sözleşmenin uygulanmasından doğabilecek her türlü anlaşmazlığın</w:t>
      </w:r>
      <w:r>
        <w:rPr>
          <w:spacing w:val="-12"/>
        </w:rPr>
        <w:t xml:space="preserve"> </w:t>
      </w:r>
      <w:r>
        <w:t>çözümünde</w:t>
      </w:r>
      <w:r>
        <w:rPr>
          <w:spacing w:val="-11"/>
        </w:rPr>
        <w:t xml:space="preserve"> </w:t>
      </w:r>
      <w:r>
        <w:t>öncelikle</w:t>
      </w:r>
      <w:r>
        <w:rPr>
          <w:spacing w:val="-10"/>
        </w:rPr>
        <w:t xml:space="preserve"> </w:t>
      </w:r>
      <w:r>
        <w:t>arabuluculuğa</w:t>
      </w:r>
      <w:r>
        <w:rPr>
          <w:spacing w:val="-10"/>
        </w:rPr>
        <w:t xml:space="preserve"> </w:t>
      </w:r>
      <w:r>
        <w:t>başvurulması</w:t>
      </w:r>
      <w:r>
        <w:rPr>
          <w:spacing w:val="-12"/>
        </w:rPr>
        <w:t xml:space="preserve"> </w:t>
      </w:r>
      <w:r>
        <w:t>esas</w:t>
      </w:r>
      <w:r>
        <w:rPr>
          <w:spacing w:val="-11"/>
        </w:rPr>
        <w:t xml:space="preserve"> </w:t>
      </w:r>
      <w:r>
        <w:t>olmakla</w:t>
      </w:r>
      <w:r>
        <w:rPr>
          <w:spacing w:val="-12"/>
        </w:rPr>
        <w:t xml:space="preserve"> </w:t>
      </w:r>
      <w:r>
        <w:t>beraber,</w:t>
      </w:r>
      <w:r>
        <w:rPr>
          <w:spacing w:val="-10"/>
        </w:rPr>
        <w:t xml:space="preserve"> </w:t>
      </w:r>
      <w:r w:rsidR="003749B3">
        <w:t>İstanbul</w:t>
      </w:r>
      <w:r>
        <w:rPr>
          <w:spacing w:val="-13"/>
        </w:rPr>
        <w:t xml:space="preserve"> </w:t>
      </w:r>
      <w:r>
        <w:t>Mahkemeleri</w:t>
      </w:r>
      <w:r>
        <w:rPr>
          <w:spacing w:val="-12"/>
        </w:rPr>
        <w:t xml:space="preserve"> </w:t>
      </w:r>
      <w:r>
        <w:t>ve İcra Daireleri</w:t>
      </w:r>
      <w:r>
        <w:rPr>
          <w:spacing w:val="3"/>
        </w:rPr>
        <w:t xml:space="preserve"> </w:t>
      </w:r>
      <w:r>
        <w:t>yetkilidir.</w:t>
      </w:r>
    </w:p>
    <w:p w:rsidR="00F42346" w:rsidRDefault="00F42346">
      <w:pPr>
        <w:pStyle w:val="GvdeMetni"/>
        <w:spacing w:before="3"/>
        <w:rPr>
          <w:sz w:val="21"/>
        </w:rPr>
      </w:pPr>
    </w:p>
    <w:p w:rsidR="00F42346" w:rsidRDefault="00FD68CE" w:rsidP="00000794">
      <w:pPr>
        <w:pStyle w:val="Balk1"/>
        <w:numPr>
          <w:ilvl w:val="0"/>
          <w:numId w:val="3"/>
        </w:numPr>
        <w:tabs>
          <w:tab w:val="left" w:pos="408"/>
        </w:tabs>
        <w:ind w:left="408" w:hanging="301"/>
      </w:pPr>
      <w:r>
        <w:t>MÜCBİR</w:t>
      </w:r>
      <w:r>
        <w:rPr>
          <w:spacing w:val="-2"/>
        </w:rPr>
        <w:t xml:space="preserve"> </w:t>
      </w:r>
      <w:r>
        <w:t>SEBEPLER</w:t>
      </w:r>
    </w:p>
    <w:p w:rsidR="00F42346" w:rsidRDefault="00F42346">
      <w:pPr>
        <w:pStyle w:val="GvdeMetni"/>
        <w:spacing w:before="5"/>
        <w:rPr>
          <w:b/>
          <w:sz w:val="20"/>
        </w:rPr>
      </w:pPr>
    </w:p>
    <w:p w:rsidR="00F42346" w:rsidRPr="00000794" w:rsidRDefault="00FD68CE" w:rsidP="00000794">
      <w:pPr>
        <w:pStyle w:val="GvdeMetni"/>
        <w:ind w:left="107" w:right="109"/>
        <w:jc w:val="both"/>
      </w:pPr>
      <w:proofErr w:type="spellStart"/>
      <w:r>
        <w:t>NÜKEN’den</w:t>
      </w:r>
      <w:proofErr w:type="spellEnd"/>
      <w:r>
        <w:t xml:space="preserve"> kaynaklanan bir kusurdan ileri gelmemiş olması, Sözleşmeden doğan yükümlülüklerin yerine getirilmesine engel nitelikte olması ve söz konusu engelin meydana geldiği tarihi takiben en fazla beş (5) iş günü içinde Müşteriye bildirilmesi kaydıyla aşağıda belirtilen haller mücbir sebep sayılır:</w:t>
      </w:r>
    </w:p>
    <w:p w:rsidR="00F42346" w:rsidRDefault="00FD68CE">
      <w:pPr>
        <w:pStyle w:val="ListeParagraf"/>
        <w:numPr>
          <w:ilvl w:val="0"/>
          <w:numId w:val="1"/>
        </w:numPr>
        <w:tabs>
          <w:tab w:val="left" w:pos="354"/>
        </w:tabs>
        <w:spacing w:before="90"/>
        <w:ind w:hanging="247"/>
        <w:rPr>
          <w:sz w:val="24"/>
        </w:rPr>
      </w:pPr>
      <w:r>
        <w:rPr>
          <w:sz w:val="24"/>
        </w:rPr>
        <w:t>Savaş ve milli seferberlik</w:t>
      </w:r>
      <w:r>
        <w:rPr>
          <w:spacing w:val="-3"/>
          <w:sz w:val="24"/>
        </w:rPr>
        <w:t xml:space="preserve"> </w:t>
      </w:r>
      <w:r>
        <w:rPr>
          <w:sz w:val="24"/>
        </w:rPr>
        <w:t>durumu,</w:t>
      </w:r>
    </w:p>
    <w:p w:rsidR="00F42346" w:rsidRDefault="00FD68CE">
      <w:pPr>
        <w:pStyle w:val="ListeParagraf"/>
        <w:numPr>
          <w:ilvl w:val="0"/>
          <w:numId w:val="1"/>
        </w:numPr>
        <w:tabs>
          <w:tab w:val="left" w:pos="368"/>
        </w:tabs>
        <w:ind w:left="367" w:hanging="261"/>
        <w:rPr>
          <w:sz w:val="24"/>
        </w:rPr>
      </w:pPr>
      <w:r>
        <w:rPr>
          <w:sz w:val="24"/>
        </w:rPr>
        <w:lastRenderedPageBreak/>
        <w:t>Fevkalade hal ile işletmelerin çalışmalarının</w:t>
      </w:r>
      <w:r>
        <w:rPr>
          <w:spacing w:val="-3"/>
          <w:sz w:val="24"/>
        </w:rPr>
        <w:t xml:space="preserve"> </w:t>
      </w:r>
      <w:r>
        <w:rPr>
          <w:sz w:val="24"/>
        </w:rPr>
        <w:t>kısıtlanması,</w:t>
      </w:r>
    </w:p>
    <w:p w:rsidR="00F42346" w:rsidRDefault="00FD68CE">
      <w:pPr>
        <w:pStyle w:val="ListeParagraf"/>
        <w:numPr>
          <w:ilvl w:val="0"/>
          <w:numId w:val="1"/>
        </w:numPr>
        <w:tabs>
          <w:tab w:val="left" w:pos="354"/>
        </w:tabs>
        <w:ind w:hanging="247"/>
        <w:rPr>
          <w:sz w:val="24"/>
        </w:rPr>
      </w:pPr>
      <w:r>
        <w:rPr>
          <w:sz w:val="24"/>
        </w:rPr>
        <w:t>Enerji</w:t>
      </w:r>
      <w:r>
        <w:rPr>
          <w:spacing w:val="-1"/>
          <w:sz w:val="24"/>
        </w:rPr>
        <w:t xml:space="preserve"> </w:t>
      </w:r>
      <w:r>
        <w:rPr>
          <w:sz w:val="24"/>
        </w:rPr>
        <w:t>kısıtlanması,</w:t>
      </w:r>
    </w:p>
    <w:p w:rsidR="00F42346" w:rsidRDefault="00FD68CE">
      <w:pPr>
        <w:pStyle w:val="ListeParagraf"/>
        <w:numPr>
          <w:ilvl w:val="0"/>
          <w:numId w:val="1"/>
        </w:numPr>
        <w:tabs>
          <w:tab w:val="left" w:pos="368"/>
        </w:tabs>
        <w:ind w:left="367" w:hanging="261"/>
        <w:rPr>
          <w:sz w:val="24"/>
        </w:rPr>
      </w:pPr>
      <w:r>
        <w:rPr>
          <w:sz w:val="24"/>
        </w:rPr>
        <w:t>Deprem, yer kayması, su baskını vb. gibi doğal afetler,</w:t>
      </w:r>
    </w:p>
    <w:p w:rsidR="00F42346" w:rsidRDefault="00FD68CE">
      <w:pPr>
        <w:pStyle w:val="ListeParagraf"/>
        <w:numPr>
          <w:ilvl w:val="0"/>
          <w:numId w:val="1"/>
        </w:numPr>
        <w:tabs>
          <w:tab w:val="left" w:pos="354"/>
        </w:tabs>
        <w:ind w:hanging="247"/>
        <w:rPr>
          <w:sz w:val="24"/>
        </w:rPr>
      </w:pPr>
      <w:r>
        <w:rPr>
          <w:sz w:val="24"/>
        </w:rPr>
        <w:t>Yangın, bina çökmesi vb. gibi tesiste meydana gelen fiziksel</w:t>
      </w:r>
      <w:r>
        <w:rPr>
          <w:spacing w:val="1"/>
          <w:sz w:val="24"/>
        </w:rPr>
        <w:t xml:space="preserve"> </w:t>
      </w:r>
      <w:r>
        <w:rPr>
          <w:sz w:val="24"/>
        </w:rPr>
        <w:t>zararlar,</w:t>
      </w:r>
    </w:p>
    <w:p w:rsidR="00F42346" w:rsidRDefault="00FD68CE">
      <w:pPr>
        <w:pStyle w:val="ListeParagraf"/>
        <w:numPr>
          <w:ilvl w:val="0"/>
          <w:numId w:val="1"/>
        </w:numPr>
        <w:tabs>
          <w:tab w:val="left" w:pos="327"/>
        </w:tabs>
        <w:ind w:left="326" w:hanging="220"/>
        <w:rPr>
          <w:sz w:val="24"/>
        </w:rPr>
      </w:pPr>
      <w:proofErr w:type="spellStart"/>
      <w:r>
        <w:rPr>
          <w:sz w:val="24"/>
        </w:rPr>
        <w:t>NÜKEN’de</w:t>
      </w:r>
      <w:proofErr w:type="spellEnd"/>
      <w:r>
        <w:rPr>
          <w:sz w:val="24"/>
        </w:rPr>
        <w:t xml:space="preserve"> oluşabilecek güvenliği ve işletimi engelleyebilecek</w:t>
      </w:r>
      <w:r>
        <w:rPr>
          <w:spacing w:val="-3"/>
          <w:sz w:val="24"/>
        </w:rPr>
        <w:t xml:space="preserve"> </w:t>
      </w:r>
      <w:r>
        <w:rPr>
          <w:sz w:val="24"/>
        </w:rPr>
        <w:t>arızalar.</w:t>
      </w:r>
    </w:p>
    <w:p w:rsidR="00F42346" w:rsidRDefault="00F42346">
      <w:pPr>
        <w:pStyle w:val="GvdeMetni"/>
      </w:pPr>
    </w:p>
    <w:p w:rsidR="00F42346" w:rsidRDefault="00FD68CE">
      <w:pPr>
        <w:pStyle w:val="GvdeMetni"/>
        <w:spacing w:before="1"/>
        <w:ind w:left="107"/>
      </w:pPr>
      <w:r>
        <w:t>Mücbir sebeplerden birinin ortaya çıkması nedeniyle cihazlarda/</w:t>
      </w:r>
      <w:proofErr w:type="spellStart"/>
      <w:r>
        <w:t>dozimetrelerde</w:t>
      </w:r>
      <w:proofErr w:type="spellEnd"/>
      <w:r>
        <w:t xml:space="preserve"> meydana gelebilecek hasar ve zararlardan NÜKEN sorumlu değildir. Müşteri bunlar için </w:t>
      </w:r>
      <w:proofErr w:type="spellStart"/>
      <w:r>
        <w:t>NÜKEN’den</w:t>
      </w:r>
      <w:proofErr w:type="spellEnd"/>
      <w:r>
        <w:t xml:space="preserve"> hiçbir bedel talep edemez.</w:t>
      </w:r>
    </w:p>
    <w:p w:rsidR="00F42346" w:rsidRDefault="00F42346">
      <w:pPr>
        <w:pStyle w:val="GvdeMetni"/>
        <w:spacing w:before="4"/>
      </w:pPr>
    </w:p>
    <w:p w:rsidR="00F42346" w:rsidRDefault="00FD68CE" w:rsidP="00000794">
      <w:pPr>
        <w:pStyle w:val="Balk1"/>
        <w:numPr>
          <w:ilvl w:val="0"/>
          <w:numId w:val="3"/>
        </w:numPr>
        <w:tabs>
          <w:tab w:val="left" w:pos="348"/>
        </w:tabs>
        <w:ind w:hanging="241"/>
      </w:pPr>
      <w:r>
        <w:t>HÜKÜM BULUNMAYAN</w:t>
      </w:r>
      <w:r>
        <w:rPr>
          <w:spacing w:val="-4"/>
        </w:rPr>
        <w:t xml:space="preserve"> </w:t>
      </w:r>
      <w:r>
        <w:t>HALLER</w:t>
      </w:r>
    </w:p>
    <w:p w:rsidR="00F42346" w:rsidRDefault="00F42346">
      <w:pPr>
        <w:pStyle w:val="GvdeMetni"/>
        <w:spacing w:before="6"/>
        <w:rPr>
          <w:b/>
          <w:sz w:val="20"/>
        </w:rPr>
      </w:pPr>
    </w:p>
    <w:p w:rsidR="00814943" w:rsidRDefault="00FD68CE" w:rsidP="00814943">
      <w:pPr>
        <w:pStyle w:val="GvdeMetni"/>
        <w:ind w:left="107"/>
      </w:pPr>
      <w:r>
        <w:t>Bu Sözleşmede hüküm bulunmayan hallerde, genel hükümlere göre hareket edilir.</w:t>
      </w:r>
    </w:p>
    <w:p w:rsidR="00814943" w:rsidRDefault="00814943" w:rsidP="00814943">
      <w:pPr>
        <w:pStyle w:val="GvdeMetni"/>
        <w:ind w:left="107"/>
      </w:pPr>
    </w:p>
    <w:p w:rsidR="00814943" w:rsidRPr="005457A6" w:rsidRDefault="00814943" w:rsidP="00814943">
      <w:pPr>
        <w:pStyle w:val="GvdeMetni"/>
        <w:ind w:left="107"/>
      </w:pPr>
      <w:r w:rsidRPr="004653A6">
        <w:rPr>
          <w:b/>
        </w:rPr>
        <w:t xml:space="preserve">Güncel Akreditasyon kapsamına </w:t>
      </w:r>
      <w:hyperlink r:id="rId12" w:history="1">
        <w:r w:rsidRPr="004653A6">
          <w:rPr>
            <w:rStyle w:val="Kpr"/>
            <w:b/>
          </w:rPr>
          <w:t>www.turkak.org</w:t>
        </w:r>
      </w:hyperlink>
      <w:r w:rsidRPr="004653A6">
        <w:rPr>
          <w:b/>
        </w:rPr>
        <w:t xml:space="preserve"> </w:t>
      </w:r>
      <w:r w:rsidRPr="004653A6">
        <w:t>adresinden, AB-</w:t>
      </w:r>
      <w:r>
        <w:t>0073</w:t>
      </w:r>
      <w:r w:rsidRPr="004653A6">
        <w:t>-</w:t>
      </w:r>
      <w:r>
        <w:t xml:space="preserve">K dosya numarası </w:t>
      </w:r>
      <w:r w:rsidRPr="004653A6">
        <w:t>ile ulaşılabilir.</w:t>
      </w:r>
    </w:p>
    <w:p w:rsidR="00814943" w:rsidRDefault="00814943">
      <w:pPr>
        <w:pStyle w:val="GvdeMetni"/>
        <w:ind w:left="107"/>
      </w:pPr>
    </w:p>
    <w:p w:rsidR="00F36F75" w:rsidRDefault="00F36F75">
      <w:pPr>
        <w:pStyle w:val="GvdeMetni"/>
        <w:ind w:left="107"/>
      </w:pPr>
    </w:p>
    <w:p w:rsidR="00F36F75" w:rsidRDefault="00F36F75">
      <w:pPr>
        <w:pStyle w:val="GvdeMetni"/>
        <w:ind w:left="107"/>
      </w:pPr>
    </w:p>
    <w:p w:rsidR="00D2413A" w:rsidRDefault="00D2413A">
      <w:pPr>
        <w:pStyle w:val="GvdeMetni"/>
        <w:ind w:left="107"/>
      </w:pPr>
    </w:p>
    <w:p w:rsidR="00D2413A" w:rsidRDefault="00D2413A">
      <w:pPr>
        <w:pStyle w:val="GvdeMetni"/>
        <w:ind w:left="107"/>
      </w:pPr>
    </w:p>
    <w:p w:rsidR="00D2413A" w:rsidRDefault="00D2413A">
      <w:pPr>
        <w:pStyle w:val="GvdeMetni"/>
        <w:ind w:left="107"/>
      </w:pPr>
    </w:p>
    <w:p w:rsidR="00D2413A" w:rsidRDefault="00D2413A">
      <w:pPr>
        <w:pStyle w:val="GvdeMetni"/>
        <w:ind w:left="107"/>
      </w:pPr>
    </w:p>
    <w:p w:rsidR="00D2413A" w:rsidRDefault="00D2413A">
      <w:pPr>
        <w:pStyle w:val="GvdeMetni"/>
        <w:ind w:left="107"/>
      </w:pPr>
    </w:p>
    <w:p w:rsidR="00D2413A" w:rsidRDefault="00D2413A">
      <w:pPr>
        <w:pStyle w:val="GvdeMetni"/>
        <w:ind w:left="107"/>
      </w:pPr>
    </w:p>
    <w:p w:rsidR="00D2413A" w:rsidRDefault="00D2413A">
      <w:pPr>
        <w:pStyle w:val="GvdeMetni"/>
        <w:ind w:left="107"/>
      </w:pPr>
    </w:p>
    <w:p w:rsidR="00D2413A" w:rsidRDefault="00D2413A">
      <w:pPr>
        <w:pStyle w:val="GvdeMetni"/>
        <w:ind w:left="107"/>
      </w:pPr>
    </w:p>
    <w:p w:rsidR="00D2413A" w:rsidRDefault="00D2413A">
      <w:pPr>
        <w:pStyle w:val="GvdeMetni"/>
        <w:ind w:left="107"/>
      </w:pPr>
    </w:p>
    <w:p w:rsidR="00D2413A" w:rsidRDefault="00D2413A">
      <w:pPr>
        <w:pStyle w:val="GvdeMetni"/>
        <w:ind w:left="107"/>
      </w:pPr>
    </w:p>
    <w:p w:rsidR="00D2413A" w:rsidRDefault="00D2413A">
      <w:pPr>
        <w:pStyle w:val="GvdeMetni"/>
        <w:ind w:left="107"/>
      </w:pPr>
    </w:p>
    <w:p w:rsidR="00D2413A" w:rsidRDefault="00D2413A">
      <w:pPr>
        <w:pStyle w:val="GvdeMetni"/>
        <w:ind w:left="107"/>
      </w:pPr>
    </w:p>
    <w:p w:rsidR="00D2413A" w:rsidRDefault="00D2413A">
      <w:pPr>
        <w:pStyle w:val="GvdeMetni"/>
        <w:ind w:left="107"/>
      </w:pPr>
    </w:p>
    <w:p w:rsidR="00D2413A" w:rsidRDefault="00D2413A">
      <w:pPr>
        <w:pStyle w:val="GvdeMetni"/>
        <w:ind w:left="107"/>
      </w:pPr>
    </w:p>
    <w:p w:rsidR="00D2413A" w:rsidRDefault="00D2413A">
      <w:pPr>
        <w:pStyle w:val="GvdeMetni"/>
        <w:ind w:left="107"/>
      </w:pPr>
    </w:p>
    <w:p w:rsidR="00D2413A" w:rsidRDefault="00D2413A">
      <w:pPr>
        <w:pStyle w:val="GvdeMetni"/>
        <w:ind w:left="107"/>
      </w:pPr>
    </w:p>
    <w:p w:rsidR="00D2413A" w:rsidRDefault="00D2413A">
      <w:pPr>
        <w:pStyle w:val="GvdeMetni"/>
        <w:ind w:left="107"/>
      </w:pPr>
    </w:p>
    <w:p w:rsidR="00D2413A" w:rsidRDefault="00D2413A">
      <w:pPr>
        <w:pStyle w:val="GvdeMetni"/>
        <w:ind w:left="107"/>
      </w:pPr>
    </w:p>
    <w:p w:rsidR="00D2413A" w:rsidRDefault="00D2413A">
      <w:pPr>
        <w:pStyle w:val="GvdeMetni"/>
        <w:ind w:left="107"/>
      </w:pPr>
    </w:p>
    <w:p w:rsidR="00D2413A" w:rsidRDefault="00D2413A">
      <w:pPr>
        <w:pStyle w:val="GvdeMetni"/>
        <w:ind w:left="107"/>
      </w:pPr>
    </w:p>
    <w:p w:rsidR="00D2413A" w:rsidRDefault="00D2413A">
      <w:pPr>
        <w:pStyle w:val="GvdeMetni"/>
        <w:ind w:left="107"/>
      </w:pPr>
    </w:p>
    <w:p w:rsidR="00D2413A" w:rsidRDefault="00D2413A">
      <w:pPr>
        <w:pStyle w:val="GvdeMetni"/>
        <w:ind w:left="107"/>
      </w:pPr>
    </w:p>
    <w:p w:rsidR="00D2413A" w:rsidRDefault="00D2413A">
      <w:pPr>
        <w:pStyle w:val="GvdeMetni"/>
        <w:ind w:left="107"/>
      </w:pPr>
    </w:p>
    <w:p w:rsidR="00D2413A" w:rsidRDefault="00D2413A">
      <w:pPr>
        <w:pStyle w:val="GvdeMetni"/>
        <w:ind w:left="107"/>
      </w:pPr>
    </w:p>
    <w:p w:rsidR="00D2413A" w:rsidRDefault="00D2413A">
      <w:pPr>
        <w:pStyle w:val="GvdeMetni"/>
        <w:ind w:left="107"/>
      </w:pPr>
    </w:p>
    <w:p w:rsidR="00D2413A" w:rsidRDefault="00D2413A">
      <w:pPr>
        <w:pStyle w:val="GvdeMetni"/>
        <w:ind w:left="107"/>
      </w:pPr>
    </w:p>
    <w:p w:rsidR="00F36F75" w:rsidRDefault="00F36F75" w:rsidP="00C140F9">
      <w:pPr>
        <w:pStyle w:val="GvdeMetni"/>
      </w:pPr>
    </w:p>
    <w:sectPr w:rsidR="00F36F75">
      <w:pgSz w:w="11910" w:h="16840"/>
      <w:pgMar w:top="1900" w:right="460" w:bottom="520" w:left="600" w:header="557" w:footer="3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44AA" w:rsidRDefault="005944AA">
      <w:r>
        <w:separator/>
      </w:r>
    </w:p>
  </w:endnote>
  <w:endnote w:type="continuationSeparator" w:id="0">
    <w:p w:rsidR="005944AA" w:rsidRDefault="00594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CE3" w:rsidRDefault="007A7F6D" w:rsidP="00CE2CE3">
    <w:pPr>
      <w:pStyle w:val="AltBilgi"/>
      <w:rPr>
        <w:b/>
        <w:sz w:val="20"/>
        <w:szCs w:val="20"/>
      </w:rPr>
    </w:pPr>
    <w:r>
      <w:rPr>
        <w:b/>
        <w:sz w:val="20"/>
        <w:szCs w:val="20"/>
      </w:rPr>
      <w:t>NÜKEN-İ</w:t>
    </w:r>
    <w:r w:rsidRPr="0071383B">
      <w:rPr>
        <w:b/>
        <w:sz w:val="20"/>
        <w:szCs w:val="20"/>
      </w:rPr>
      <w:t>-F</w:t>
    </w:r>
    <w:r>
      <w:rPr>
        <w:b/>
        <w:sz w:val="20"/>
        <w:szCs w:val="20"/>
      </w:rPr>
      <w:t>RM</w:t>
    </w:r>
    <w:r w:rsidRPr="0071383B">
      <w:rPr>
        <w:b/>
        <w:sz w:val="20"/>
        <w:szCs w:val="20"/>
      </w:rPr>
      <w:t>-</w:t>
    </w:r>
    <w:r>
      <w:rPr>
        <w:b/>
        <w:sz w:val="20"/>
        <w:szCs w:val="20"/>
      </w:rPr>
      <w:t>0</w:t>
    </w:r>
    <w:r w:rsidRPr="0071383B">
      <w:rPr>
        <w:b/>
        <w:sz w:val="20"/>
        <w:szCs w:val="20"/>
      </w:rPr>
      <w:t>4</w:t>
    </w:r>
    <w:r>
      <w:rPr>
        <w:b/>
        <w:sz w:val="20"/>
        <w:szCs w:val="20"/>
      </w:rPr>
      <w:t>9</w:t>
    </w:r>
    <w:r w:rsidRPr="0071383B">
      <w:rPr>
        <w:b/>
        <w:sz w:val="20"/>
        <w:szCs w:val="20"/>
      </w:rPr>
      <w:t xml:space="preserve"> </w:t>
    </w:r>
    <w:r>
      <w:rPr>
        <w:b/>
        <w:sz w:val="20"/>
        <w:szCs w:val="20"/>
      </w:rPr>
      <w:t xml:space="preserve">Yayın Tarihi/Revizyon Tarihi: 13.12.2021/ 21.10.2022                                               </w:t>
    </w:r>
    <w:r w:rsidRPr="0071383B">
      <w:rPr>
        <w:b/>
        <w:sz w:val="20"/>
        <w:szCs w:val="20"/>
      </w:rPr>
      <w:t xml:space="preserve">Revizyon No: </w:t>
    </w:r>
    <w:r>
      <w:rPr>
        <w:b/>
        <w:sz w:val="20"/>
        <w:szCs w:val="20"/>
      </w:rPr>
      <w:t>01</w:t>
    </w:r>
  </w:p>
  <w:p w:rsidR="00F42346" w:rsidRPr="00CE2CE3" w:rsidRDefault="00CE2CE3" w:rsidP="00CE2CE3">
    <w:pPr>
      <w:pStyle w:val="AltBilgi"/>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44AA" w:rsidRDefault="005944AA">
      <w:r>
        <w:separator/>
      </w:r>
    </w:p>
  </w:footnote>
  <w:footnote w:type="continuationSeparator" w:id="0">
    <w:p w:rsidR="005944AA" w:rsidRDefault="005944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577"/>
      <w:gridCol w:w="8773"/>
    </w:tblGrid>
    <w:tr w:rsidR="00CE2CE3" w:rsidTr="00CE2CE3">
      <w:trPr>
        <w:trHeight w:val="735"/>
      </w:trPr>
      <w:tc>
        <w:tcPr>
          <w:tcW w:w="1577" w:type="dxa"/>
          <w:vMerge w:val="restart"/>
        </w:tcPr>
        <w:p w:rsidR="00CE2CE3" w:rsidRDefault="00CE2CE3" w:rsidP="00CE2CE3">
          <w:pPr>
            <w:pStyle w:val="TableParagraph"/>
            <w:ind w:right="0"/>
            <w:jc w:val="left"/>
          </w:pPr>
        </w:p>
      </w:tc>
      <w:tc>
        <w:tcPr>
          <w:tcW w:w="8773" w:type="dxa"/>
        </w:tcPr>
        <w:p w:rsidR="00CE2CE3" w:rsidRPr="00942E20" w:rsidRDefault="00CE2CE3" w:rsidP="00CE2CE3">
          <w:pPr>
            <w:pStyle w:val="TableParagraph"/>
            <w:spacing w:line="249" w:lineRule="exact"/>
            <w:ind w:left="515" w:right="494"/>
            <w:rPr>
              <w:sz w:val="18"/>
              <w:szCs w:val="18"/>
            </w:rPr>
          </w:pPr>
          <w:r w:rsidRPr="00942E20">
            <w:rPr>
              <w:sz w:val="18"/>
              <w:szCs w:val="18"/>
            </w:rPr>
            <w:t>TÜRKİYE ENERJİ, NÜKLEER VE MADEN ARAŞTIRMA KURUMU</w:t>
          </w:r>
        </w:p>
        <w:p w:rsidR="00CE2CE3" w:rsidRPr="00942E20" w:rsidRDefault="00CE2CE3" w:rsidP="00CE2CE3">
          <w:pPr>
            <w:pStyle w:val="TableParagraph"/>
            <w:spacing w:line="249" w:lineRule="exact"/>
            <w:ind w:left="515" w:right="494"/>
            <w:rPr>
              <w:sz w:val="20"/>
              <w:szCs w:val="20"/>
            </w:rPr>
          </w:pPr>
          <w:r>
            <w:rPr>
              <w:sz w:val="20"/>
              <w:szCs w:val="20"/>
            </w:rPr>
            <w:t xml:space="preserve">    </w:t>
          </w:r>
          <w:r w:rsidRPr="00942E20">
            <w:rPr>
              <w:sz w:val="20"/>
              <w:szCs w:val="20"/>
            </w:rPr>
            <w:t>NÜKLEER ENERJİ ARAŞTIRMA ENSTİTÜSÜ</w:t>
          </w:r>
        </w:p>
        <w:p w:rsidR="00CE2CE3" w:rsidRDefault="00CE2CE3" w:rsidP="00DF1FAA">
          <w:pPr>
            <w:pStyle w:val="TableParagraph"/>
            <w:spacing w:line="237" w:lineRule="exact"/>
            <w:ind w:left="1375"/>
          </w:pPr>
          <w:r>
            <w:rPr>
              <w:sz w:val="20"/>
              <w:szCs w:val="20"/>
            </w:rPr>
            <w:t xml:space="preserve"> </w:t>
          </w:r>
        </w:p>
      </w:tc>
    </w:tr>
    <w:tr w:rsidR="00CE2CE3" w:rsidTr="00CE2CE3">
      <w:trPr>
        <w:trHeight w:val="551"/>
      </w:trPr>
      <w:tc>
        <w:tcPr>
          <w:tcW w:w="1577" w:type="dxa"/>
          <w:vMerge/>
          <w:tcBorders>
            <w:top w:val="nil"/>
          </w:tcBorders>
        </w:tcPr>
        <w:p w:rsidR="00CE2CE3" w:rsidRDefault="00CE2CE3" w:rsidP="00CE2CE3">
          <w:pPr>
            <w:rPr>
              <w:sz w:val="2"/>
              <w:szCs w:val="2"/>
            </w:rPr>
          </w:pPr>
        </w:p>
      </w:tc>
      <w:tc>
        <w:tcPr>
          <w:tcW w:w="8773" w:type="dxa"/>
        </w:tcPr>
        <w:p w:rsidR="00CE2CE3" w:rsidRDefault="00CE2CE3" w:rsidP="00CE2CE3">
          <w:pPr>
            <w:pStyle w:val="TableParagraph"/>
            <w:spacing w:line="270" w:lineRule="exact"/>
            <w:ind w:left="1378"/>
            <w:rPr>
              <w:sz w:val="24"/>
            </w:rPr>
          </w:pPr>
          <w:r>
            <w:rPr>
              <w:sz w:val="24"/>
            </w:rPr>
            <w:t>KALİBRASYON/IŞINLAMA HİZMETLERİ SÖZLEŞMESİ</w:t>
          </w:r>
        </w:p>
        <w:p w:rsidR="00CE2CE3" w:rsidRDefault="00CE2CE3" w:rsidP="00CE2CE3">
          <w:pPr>
            <w:pStyle w:val="TableParagraph"/>
            <w:spacing w:line="261" w:lineRule="exact"/>
            <w:ind w:left="1373"/>
            <w:rPr>
              <w:sz w:val="24"/>
            </w:rPr>
          </w:pPr>
          <w:r>
            <w:rPr>
              <w:sz w:val="24"/>
            </w:rPr>
            <w:t>(TS EN ISO/IEC 17025)</w:t>
          </w:r>
        </w:p>
      </w:tc>
    </w:tr>
  </w:tbl>
  <w:p w:rsidR="00F42346" w:rsidRDefault="00FD68CE">
    <w:pPr>
      <w:pStyle w:val="GvdeMetni"/>
      <w:spacing w:line="14" w:lineRule="auto"/>
      <w:rPr>
        <w:sz w:val="20"/>
      </w:rPr>
    </w:pPr>
    <w:r>
      <w:rPr>
        <w:noProof/>
        <w:lang w:eastAsia="tr-TR"/>
      </w:rPr>
      <w:drawing>
        <wp:anchor distT="0" distB="0" distL="0" distR="0" simplePos="0" relativeHeight="251686912" behindDoc="1" locked="0" layoutInCell="1" allowOverlap="1">
          <wp:simplePos x="0" y="0"/>
          <wp:positionH relativeFrom="page">
            <wp:posOffset>679965</wp:posOffset>
          </wp:positionH>
          <wp:positionV relativeFrom="page">
            <wp:posOffset>393699</wp:posOffset>
          </wp:positionV>
          <wp:extent cx="706683" cy="753109"/>
          <wp:effectExtent l="0" t="0" r="0" b="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706683" cy="75310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60EA2"/>
    <w:multiLevelType w:val="hybridMultilevel"/>
    <w:tmpl w:val="371A6D6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6BB3EB4"/>
    <w:multiLevelType w:val="hybridMultilevel"/>
    <w:tmpl w:val="74509E4A"/>
    <w:lvl w:ilvl="0" w:tplc="EEF6DA30">
      <w:start w:val="1"/>
      <w:numFmt w:val="lowerLetter"/>
      <w:lvlText w:val="%1)"/>
      <w:lvlJc w:val="left"/>
      <w:pPr>
        <w:ind w:left="353" w:hanging="246"/>
      </w:pPr>
      <w:rPr>
        <w:rFonts w:ascii="Times New Roman" w:eastAsia="Times New Roman" w:hAnsi="Times New Roman" w:cs="Times New Roman" w:hint="default"/>
        <w:spacing w:val="-2"/>
        <w:w w:val="100"/>
        <w:sz w:val="24"/>
        <w:szCs w:val="24"/>
        <w:lang w:val="tr-TR" w:eastAsia="en-US" w:bidi="ar-SA"/>
      </w:rPr>
    </w:lvl>
    <w:lvl w:ilvl="1" w:tplc="F60CD740">
      <w:numFmt w:val="bullet"/>
      <w:lvlText w:val="•"/>
      <w:lvlJc w:val="left"/>
      <w:pPr>
        <w:ind w:left="1408" w:hanging="246"/>
      </w:pPr>
      <w:rPr>
        <w:rFonts w:hint="default"/>
        <w:lang w:val="tr-TR" w:eastAsia="en-US" w:bidi="ar-SA"/>
      </w:rPr>
    </w:lvl>
    <w:lvl w:ilvl="2" w:tplc="2FBA3BC0">
      <w:numFmt w:val="bullet"/>
      <w:lvlText w:val="•"/>
      <w:lvlJc w:val="left"/>
      <w:pPr>
        <w:ind w:left="2457" w:hanging="246"/>
      </w:pPr>
      <w:rPr>
        <w:rFonts w:hint="default"/>
        <w:lang w:val="tr-TR" w:eastAsia="en-US" w:bidi="ar-SA"/>
      </w:rPr>
    </w:lvl>
    <w:lvl w:ilvl="3" w:tplc="B6DA4DBE">
      <w:numFmt w:val="bullet"/>
      <w:lvlText w:val="•"/>
      <w:lvlJc w:val="left"/>
      <w:pPr>
        <w:ind w:left="3505" w:hanging="246"/>
      </w:pPr>
      <w:rPr>
        <w:rFonts w:hint="default"/>
        <w:lang w:val="tr-TR" w:eastAsia="en-US" w:bidi="ar-SA"/>
      </w:rPr>
    </w:lvl>
    <w:lvl w:ilvl="4" w:tplc="F41EED62">
      <w:numFmt w:val="bullet"/>
      <w:lvlText w:val="•"/>
      <w:lvlJc w:val="left"/>
      <w:pPr>
        <w:ind w:left="4554" w:hanging="246"/>
      </w:pPr>
      <w:rPr>
        <w:rFonts w:hint="default"/>
        <w:lang w:val="tr-TR" w:eastAsia="en-US" w:bidi="ar-SA"/>
      </w:rPr>
    </w:lvl>
    <w:lvl w:ilvl="5" w:tplc="8FF407BC">
      <w:numFmt w:val="bullet"/>
      <w:lvlText w:val="•"/>
      <w:lvlJc w:val="left"/>
      <w:pPr>
        <w:ind w:left="5603" w:hanging="246"/>
      </w:pPr>
      <w:rPr>
        <w:rFonts w:hint="default"/>
        <w:lang w:val="tr-TR" w:eastAsia="en-US" w:bidi="ar-SA"/>
      </w:rPr>
    </w:lvl>
    <w:lvl w:ilvl="6" w:tplc="F9303B62">
      <w:numFmt w:val="bullet"/>
      <w:lvlText w:val="•"/>
      <w:lvlJc w:val="left"/>
      <w:pPr>
        <w:ind w:left="6651" w:hanging="246"/>
      </w:pPr>
      <w:rPr>
        <w:rFonts w:hint="default"/>
        <w:lang w:val="tr-TR" w:eastAsia="en-US" w:bidi="ar-SA"/>
      </w:rPr>
    </w:lvl>
    <w:lvl w:ilvl="7" w:tplc="A7587E12">
      <w:numFmt w:val="bullet"/>
      <w:lvlText w:val="•"/>
      <w:lvlJc w:val="left"/>
      <w:pPr>
        <w:ind w:left="7700" w:hanging="246"/>
      </w:pPr>
      <w:rPr>
        <w:rFonts w:hint="default"/>
        <w:lang w:val="tr-TR" w:eastAsia="en-US" w:bidi="ar-SA"/>
      </w:rPr>
    </w:lvl>
    <w:lvl w:ilvl="8" w:tplc="14DA5378">
      <w:numFmt w:val="bullet"/>
      <w:lvlText w:val="•"/>
      <w:lvlJc w:val="left"/>
      <w:pPr>
        <w:ind w:left="8749" w:hanging="246"/>
      </w:pPr>
      <w:rPr>
        <w:rFonts w:hint="default"/>
        <w:lang w:val="tr-TR" w:eastAsia="en-US" w:bidi="ar-SA"/>
      </w:rPr>
    </w:lvl>
  </w:abstractNum>
  <w:abstractNum w:abstractNumId="2" w15:restartNumberingAfterBreak="0">
    <w:nsid w:val="4E002E18"/>
    <w:multiLevelType w:val="multilevel"/>
    <w:tmpl w:val="DAAA370E"/>
    <w:lvl w:ilvl="0">
      <w:start w:val="1"/>
      <w:numFmt w:val="decimal"/>
      <w:lvlText w:val="%1."/>
      <w:lvlJc w:val="left"/>
      <w:pPr>
        <w:ind w:left="240" w:hanging="240"/>
      </w:pPr>
      <w:rPr>
        <w:rFonts w:ascii="Times New Roman" w:eastAsia="Times New Roman" w:hAnsi="Times New Roman" w:cs="Times New Roman" w:hint="default"/>
        <w:b/>
        <w:bCs/>
        <w:spacing w:val="-3"/>
        <w:w w:val="100"/>
        <w:sz w:val="24"/>
        <w:szCs w:val="24"/>
        <w:lang w:val="tr-TR" w:eastAsia="en-US" w:bidi="ar-SA"/>
      </w:rPr>
    </w:lvl>
    <w:lvl w:ilvl="1">
      <w:start w:val="1"/>
      <w:numFmt w:val="decimal"/>
      <w:lvlText w:val="%1.%2"/>
      <w:lvlJc w:val="left"/>
      <w:pPr>
        <w:ind w:left="360" w:hanging="360"/>
      </w:pPr>
      <w:rPr>
        <w:rFonts w:ascii="Times New Roman" w:eastAsia="Times New Roman" w:hAnsi="Times New Roman" w:cs="Times New Roman" w:hint="default"/>
        <w:b/>
        <w:bCs/>
        <w:spacing w:val="-2"/>
        <w:w w:val="100"/>
        <w:sz w:val="24"/>
        <w:szCs w:val="24"/>
        <w:lang w:val="tr-TR" w:eastAsia="en-US" w:bidi="ar-SA"/>
      </w:rPr>
    </w:lvl>
    <w:lvl w:ilvl="2">
      <w:start w:val="1"/>
      <w:numFmt w:val="decimal"/>
      <w:lvlText w:val="%1.%2.%3"/>
      <w:lvlJc w:val="left"/>
      <w:pPr>
        <w:ind w:left="0" w:hanging="575"/>
      </w:pPr>
      <w:rPr>
        <w:rFonts w:ascii="Times New Roman" w:eastAsia="Times New Roman" w:hAnsi="Times New Roman" w:cs="Times New Roman" w:hint="default"/>
        <w:b/>
        <w:bCs/>
        <w:spacing w:val="-28"/>
        <w:w w:val="99"/>
        <w:sz w:val="24"/>
        <w:szCs w:val="24"/>
        <w:lang w:val="tr-TR" w:eastAsia="en-US" w:bidi="ar-SA"/>
      </w:rPr>
    </w:lvl>
    <w:lvl w:ilvl="3">
      <w:numFmt w:val="bullet"/>
      <w:lvlText w:val="•"/>
      <w:lvlJc w:val="left"/>
      <w:pPr>
        <w:ind w:left="1650" w:hanging="575"/>
      </w:pPr>
      <w:rPr>
        <w:rFonts w:hint="default"/>
        <w:lang w:val="tr-TR" w:eastAsia="en-US" w:bidi="ar-SA"/>
      </w:rPr>
    </w:lvl>
    <w:lvl w:ilvl="4">
      <w:numFmt w:val="bullet"/>
      <w:lvlText w:val="•"/>
      <w:lvlJc w:val="left"/>
      <w:pPr>
        <w:ind w:left="2948" w:hanging="575"/>
      </w:pPr>
      <w:rPr>
        <w:rFonts w:hint="default"/>
        <w:lang w:val="tr-TR" w:eastAsia="en-US" w:bidi="ar-SA"/>
      </w:rPr>
    </w:lvl>
    <w:lvl w:ilvl="5">
      <w:numFmt w:val="bullet"/>
      <w:lvlText w:val="•"/>
      <w:lvlJc w:val="left"/>
      <w:pPr>
        <w:ind w:left="4246" w:hanging="575"/>
      </w:pPr>
      <w:rPr>
        <w:rFonts w:hint="default"/>
        <w:lang w:val="tr-TR" w:eastAsia="en-US" w:bidi="ar-SA"/>
      </w:rPr>
    </w:lvl>
    <w:lvl w:ilvl="6">
      <w:numFmt w:val="bullet"/>
      <w:lvlText w:val="•"/>
      <w:lvlJc w:val="left"/>
      <w:pPr>
        <w:ind w:left="5545" w:hanging="575"/>
      </w:pPr>
      <w:rPr>
        <w:rFonts w:hint="default"/>
        <w:lang w:val="tr-TR" w:eastAsia="en-US" w:bidi="ar-SA"/>
      </w:rPr>
    </w:lvl>
    <w:lvl w:ilvl="7">
      <w:numFmt w:val="bullet"/>
      <w:lvlText w:val="•"/>
      <w:lvlJc w:val="left"/>
      <w:pPr>
        <w:ind w:left="6843" w:hanging="575"/>
      </w:pPr>
      <w:rPr>
        <w:rFonts w:hint="default"/>
        <w:lang w:val="tr-TR" w:eastAsia="en-US" w:bidi="ar-SA"/>
      </w:rPr>
    </w:lvl>
    <w:lvl w:ilvl="8">
      <w:numFmt w:val="bullet"/>
      <w:lvlText w:val="•"/>
      <w:lvlJc w:val="left"/>
      <w:pPr>
        <w:ind w:left="8141" w:hanging="575"/>
      </w:pPr>
      <w:rPr>
        <w:rFonts w:hint="default"/>
        <w:lang w:val="tr-TR" w:eastAsia="en-US" w:bidi="ar-SA"/>
      </w:rPr>
    </w:lvl>
  </w:abstractNum>
  <w:abstractNum w:abstractNumId="3" w15:restartNumberingAfterBreak="0">
    <w:nsid w:val="545E4F2A"/>
    <w:multiLevelType w:val="multilevel"/>
    <w:tmpl w:val="EE1C61A6"/>
    <w:lvl w:ilvl="0">
      <w:start w:val="4"/>
      <w:numFmt w:val="decimal"/>
      <w:lvlText w:val="%1."/>
      <w:lvlJc w:val="left"/>
      <w:pPr>
        <w:ind w:left="348" w:hanging="240"/>
      </w:pPr>
      <w:rPr>
        <w:rFonts w:ascii="Times New Roman" w:eastAsia="Times New Roman" w:hAnsi="Times New Roman" w:cs="Times New Roman" w:hint="default"/>
        <w:b/>
        <w:bCs/>
        <w:spacing w:val="-3"/>
        <w:w w:val="100"/>
        <w:sz w:val="24"/>
        <w:szCs w:val="24"/>
      </w:rPr>
    </w:lvl>
    <w:lvl w:ilvl="1">
      <w:start w:val="1"/>
      <w:numFmt w:val="decimal"/>
      <w:lvlText w:val="%1.%2"/>
      <w:lvlJc w:val="left"/>
      <w:pPr>
        <w:ind w:left="468" w:hanging="360"/>
      </w:pPr>
      <w:rPr>
        <w:rFonts w:ascii="Times New Roman" w:eastAsia="Times New Roman" w:hAnsi="Times New Roman" w:cs="Times New Roman" w:hint="default"/>
        <w:b/>
        <w:bCs/>
        <w:spacing w:val="-2"/>
        <w:w w:val="100"/>
        <w:sz w:val="24"/>
        <w:szCs w:val="24"/>
      </w:rPr>
    </w:lvl>
    <w:lvl w:ilvl="2">
      <w:start w:val="1"/>
      <w:numFmt w:val="decimal"/>
      <w:lvlText w:val="%1.%2.%3"/>
      <w:lvlJc w:val="left"/>
      <w:pPr>
        <w:ind w:left="108" w:hanging="575"/>
      </w:pPr>
      <w:rPr>
        <w:rFonts w:ascii="Times New Roman" w:eastAsia="Times New Roman" w:hAnsi="Times New Roman" w:cs="Times New Roman" w:hint="default"/>
        <w:b/>
        <w:bCs/>
        <w:spacing w:val="-28"/>
        <w:w w:val="99"/>
        <w:sz w:val="24"/>
        <w:szCs w:val="24"/>
      </w:rPr>
    </w:lvl>
    <w:lvl w:ilvl="3">
      <w:numFmt w:val="bullet"/>
      <w:lvlText w:val="•"/>
      <w:lvlJc w:val="left"/>
      <w:pPr>
        <w:ind w:left="1758" w:hanging="575"/>
      </w:pPr>
      <w:rPr>
        <w:rFonts w:hint="default"/>
      </w:rPr>
    </w:lvl>
    <w:lvl w:ilvl="4">
      <w:numFmt w:val="bullet"/>
      <w:lvlText w:val="•"/>
      <w:lvlJc w:val="left"/>
      <w:pPr>
        <w:ind w:left="3056" w:hanging="575"/>
      </w:pPr>
      <w:rPr>
        <w:rFonts w:hint="default"/>
      </w:rPr>
    </w:lvl>
    <w:lvl w:ilvl="5">
      <w:numFmt w:val="bullet"/>
      <w:lvlText w:val="•"/>
      <w:lvlJc w:val="left"/>
      <w:pPr>
        <w:ind w:left="4354" w:hanging="575"/>
      </w:pPr>
      <w:rPr>
        <w:rFonts w:hint="default"/>
      </w:rPr>
    </w:lvl>
    <w:lvl w:ilvl="6">
      <w:numFmt w:val="bullet"/>
      <w:lvlText w:val="•"/>
      <w:lvlJc w:val="left"/>
      <w:pPr>
        <w:ind w:left="5653" w:hanging="575"/>
      </w:pPr>
      <w:rPr>
        <w:rFonts w:hint="default"/>
      </w:rPr>
    </w:lvl>
    <w:lvl w:ilvl="7">
      <w:numFmt w:val="bullet"/>
      <w:lvlText w:val="•"/>
      <w:lvlJc w:val="left"/>
      <w:pPr>
        <w:ind w:left="6951" w:hanging="575"/>
      </w:pPr>
      <w:rPr>
        <w:rFonts w:hint="default"/>
      </w:rPr>
    </w:lvl>
    <w:lvl w:ilvl="8">
      <w:numFmt w:val="bullet"/>
      <w:lvlText w:val="•"/>
      <w:lvlJc w:val="left"/>
      <w:pPr>
        <w:ind w:left="8249" w:hanging="575"/>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F42346"/>
    <w:rsid w:val="00000794"/>
    <w:rsid w:val="0016424B"/>
    <w:rsid w:val="001A1A58"/>
    <w:rsid w:val="00260783"/>
    <w:rsid w:val="003749B3"/>
    <w:rsid w:val="0038636F"/>
    <w:rsid w:val="003977BF"/>
    <w:rsid w:val="00522A76"/>
    <w:rsid w:val="005944AA"/>
    <w:rsid w:val="005F6319"/>
    <w:rsid w:val="007A7F6D"/>
    <w:rsid w:val="00806FB2"/>
    <w:rsid w:val="00814943"/>
    <w:rsid w:val="008624EB"/>
    <w:rsid w:val="008E0A1D"/>
    <w:rsid w:val="008E2D2C"/>
    <w:rsid w:val="009201F8"/>
    <w:rsid w:val="009E58F0"/>
    <w:rsid w:val="00A15CBC"/>
    <w:rsid w:val="00A265C0"/>
    <w:rsid w:val="00A66634"/>
    <w:rsid w:val="00AF642A"/>
    <w:rsid w:val="00B81167"/>
    <w:rsid w:val="00BC3D04"/>
    <w:rsid w:val="00BF63EF"/>
    <w:rsid w:val="00C059D6"/>
    <w:rsid w:val="00C072FC"/>
    <w:rsid w:val="00C140F9"/>
    <w:rsid w:val="00CB7280"/>
    <w:rsid w:val="00CE2CE3"/>
    <w:rsid w:val="00D2413A"/>
    <w:rsid w:val="00D602A2"/>
    <w:rsid w:val="00DE6AFB"/>
    <w:rsid w:val="00DE7BB0"/>
    <w:rsid w:val="00DF1FAA"/>
    <w:rsid w:val="00F36F75"/>
    <w:rsid w:val="00F42346"/>
    <w:rsid w:val="00FD68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C3EEF06-FFAB-47EC-825D-1C692DDE5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468" w:hanging="361"/>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107"/>
    </w:pPr>
  </w:style>
  <w:style w:type="paragraph" w:customStyle="1" w:styleId="TableParagraph">
    <w:name w:val="Table Paragraph"/>
    <w:basedOn w:val="Normal"/>
    <w:uiPriority w:val="1"/>
    <w:qFormat/>
    <w:pPr>
      <w:ind w:right="1350"/>
      <w:jc w:val="center"/>
    </w:pPr>
  </w:style>
  <w:style w:type="paragraph" w:styleId="stBilgi">
    <w:name w:val="header"/>
    <w:basedOn w:val="Normal"/>
    <w:link w:val="stBilgiChar"/>
    <w:uiPriority w:val="99"/>
    <w:unhideWhenUsed/>
    <w:rsid w:val="0038636F"/>
    <w:pPr>
      <w:tabs>
        <w:tab w:val="center" w:pos="4536"/>
        <w:tab w:val="right" w:pos="9072"/>
      </w:tabs>
    </w:pPr>
  </w:style>
  <w:style w:type="character" w:customStyle="1" w:styleId="stBilgiChar">
    <w:name w:val="Üst Bilgi Char"/>
    <w:basedOn w:val="VarsaylanParagrafYazTipi"/>
    <w:link w:val="stBilgi"/>
    <w:uiPriority w:val="99"/>
    <w:rsid w:val="0038636F"/>
    <w:rPr>
      <w:rFonts w:ascii="Times New Roman" w:eastAsia="Times New Roman" w:hAnsi="Times New Roman" w:cs="Times New Roman"/>
      <w:lang w:val="tr-TR"/>
    </w:rPr>
  </w:style>
  <w:style w:type="paragraph" w:styleId="AltBilgi">
    <w:name w:val="footer"/>
    <w:basedOn w:val="Normal"/>
    <w:link w:val="AltBilgiChar"/>
    <w:uiPriority w:val="99"/>
    <w:unhideWhenUsed/>
    <w:rsid w:val="0038636F"/>
    <w:pPr>
      <w:tabs>
        <w:tab w:val="center" w:pos="4536"/>
        <w:tab w:val="right" w:pos="9072"/>
      </w:tabs>
    </w:pPr>
  </w:style>
  <w:style w:type="character" w:customStyle="1" w:styleId="AltBilgiChar">
    <w:name w:val="Alt Bilgi Char"/>
    <w:basedOn w:val="VarsaylanParagrafYazTipi"/>
    <w:link w:val="AltBilgi"/>
    <w:uiPriority w:val="99"/>
    <w:rsid w:val="0038636F"/>
    <w:rPr>
      <w:rFonts w:ascii="Times New Roman" w:eastAsia="Times New Roman" w:hAnsi="Times New Roman" w:cs="Times New Roman"/>
      <w:lang w:val="tr-TR"/>
    </w:rPr>
  </w:style>
  <w:style w:type="character" w:styleId="SayfaNumaras">
    <w:name w:val="page number"/>
    <w:basedOn w:val="VarsaylanParagrafYazTipi"/>
    <w:rsid w:val="00CE2CE3"/>
  </w:style>
  <w:style w:type="paragraph" w:styleId="NormalWeb">
    <w:name w:val="Normal (Web)"/>
    <w:basedOn w:val="Normal"/>
    <w:rsid w:val="00000794"/>
    <w:pPr>
      <w:widowControl/>
      <w:autoSpaceDE/>
      <w:autoSpaceDN/>
      <w:spacing w:after="240"/>
    </w:pPr>
    <w:rPr>
      <w:rFonts w:ascii="Arial" w:eastAsia="Calibri" w:hAnsi="Arial" w:cs="Arial"/>
      <w:color w:val="333333"/>
      <w:sz w:val="18"/>
      <w:szCs w:val="18"/>
      <w:lang w:eastAsia="tr-TR"/>
    </w:rPr>
  </w:style>
  <w:style w:type="character" w:styleId="Kpr">
    <w:name w:val="Hyperlink"/>
    <w:rsid w:val="00814943"/>
    <w:rPr>
      <w:color w:val="0000FF"/>
      <w:u w:val="single"/>
    </w:rPr>
  </w:style>
  <w:style w:type="paragraph" w:styleId="BalonMetni">
    <w:name w:val="Balloon Text"/>
    <w:basedOn w:val="Normal"/>
    <w:link w:val="BalonMetniChar"/>
    <w:uiPriority w:val="99"/>
    <w:semiHidden/>
    <w:unhideWhenUsed/>
    <w:rsid w:val="00CB728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B7280"/>
    <w:rPr>
      <w:rFonts w:ascii="Segoe UI" w:eastAsia="Times New Roman" w:hAnsi="Segoe UI" w:cs="Segoe UI"/>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turkak.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enmak.gov.tr/nuken" TargetMode="External"/><Relationship Id="rId5" Type="http://schemas.openxmlformats.org/officeDocument/2006/relationships/footnotes" Target="footnotes.xml"/><Relationship Id="rId10" Type="http://schemas.openxmlformats.org/officeDocument/2006/relationships/hyperlink" Target="http://www.turkak.org.tr/" TargetMode="External"/><Relationship Id="rId4" Type="http://schemas.openxmlformats.org/officeDocument/2006/relationships/webSettings" Target="webSettings.xml"/><Relationship Id="rId9" Type="http://schemas.openxmlformats.org/officeDocument/2006/relationships/hyperlink" Target="http://www.tenmak.gov.t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1604</Words>
  <Characters>9144</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10727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Erinç Reyhanioğlu</dc:creator>
  <cp:lastModifiedBy>Erşan Taşan</cp:lastModifiedBy>
  <cp:revision>2</cp:revision>
  <cp:lastPrinted>2023-01-09T13:46:00Z</cp:lastPrinted>
  <dcterms:created xsi:type="dcterms:W3CDTF">2023-02-07T12:31:00Z</dcterms:created>
  <dcterms:modified xsi:type="dcterms:W3CDTF">2023-02-07T12:31:00Z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2021-08-06T00:00:00Z</vt:filetime>
  </property>
  <property fmtid="{D5CDD505-2E9C-101B-9397-08002B2CF9AE}" pid="3" name="Creator">
    <vt:lpwstr>Microsoft® Word 2016</vt:lpwstr>
  </property>
  <property fmtid="{D5CDD505-2E9C-101B-9397-08002B2CF9AE}" pid="4" name="LastSaved">
    <vt:filetime>2021-08-18T00:00:00Z</vt:filetime>
  </property>
</Properties>
</file>